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both"/>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附件</w:t>
      </w:r>
      <w:r>
        <w:rPr>
          <w:rFonts w:hint="eastAsia" w:ascii="黑体" w:hAnsi="黑体" w:eastAsia="黑体" w:cs="黑体"/>
          <w:b w:val="0"/>
          <w:bCs w:val="0"/>
          <w:color w:val="auto"/>
          <w:sz w:val="32"/>
          <w:szCs w:val="32"/>
          <w:highlight w:val="none"/>
          <w:u w:val="none"/>
          <w:lang w:val="en-US" w:eastAsia="zh-CN"/>
        </w:rPr>
        <w:t>2</w:t>
      </w:r>
    </w:p>
    <w:p>
      <w:pPr>
        <w:snapToGrid w:val="0"/>
        <w:spacing w:line="600" w:lineRule="exact"/>
        <w:jc w:val="both"/>
        <w:rPr>
          <w:rFonts w:hint="default" w:ascii="黑体" w:hAnsi="黑体" w:eastAsia="黑体" w:cs="黑体"/>
          <w:b w:val="0"/>
          <w:bCs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u w:val="none"/>
        </w:rPr>
      </w:pPr>
      <w:r>
        <w:rPr>
          <w:rFonts w:hint="eastAsia" w:ascii="方正小标宋简体" w:hAnsi="方正小标宋简体" w:eastAsia="方正小标宋简体" w:cs="方正小标宋简体"/>
          <w:b w:val="0"/>
          <w:bCs w:val="0"/>
          <w:color w:val="auto"/>
          <w:sz w:val="44"/>
          <w:szCs w:val="44"/>
          <w:highlight w:val="none"/>
          <w:u w:val="none"/>
        </w:rPr>
        <w:t>福建省</w:t>
      </w:r>
      <w:r>
        <w:rPr>
          <w:rFonts w:hint="eastAsia" w:ascii="方正小标宋简体" w:hAnsi="方正小标宋简体" w:eastAsia="方正小标宋简体" w:cs="方正小标宋简体"/>
          <w:b w:val="0"/>
          <w:bCs w:val="0"/>
          <w:color w:val="auto"/>
          <w:sz w:val="44"/>
          <w:szCs w:val="44"/>
          <w:highlight w:val="none"/>
          <w:u w:val="none"/>
          <w:lang w:eastAsia="zh-CN"/>
        </w:rPr>
        <w:t>省级财政林业生态保护</w:t>
      </w:r>
      <w:r>
        <w:rPr>
          <w:rFonts w:hint="eastAsia" w:ascii="方正小标宋简体" w:hAnsi="方正小标宋简体" w:eastAsia="方正小标宋简体" w:cs="方正小标宋简体"/>
          <w:b w:val="0"/>
          <w:bCs w:val="0"/>
          <w:color w:val="auto"/>
          <w:sz w:val="44"/>
          <w:szCs w:val="44"/>
          <w:highlight w:val="none"/>
          <w:u w:val="none"/>
        </w:rPr>
        <w:t>专项资金</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u w:val="none"/>
        </w:rPr>
      </w:pPr>
      <w:r>
        <w:rPr>
          <w:rFonts w:hint="eastAsia" w:ascii="方正小标宋简体" w:hAnsi="方正小标宋简体" w:eastAsia="方正小标宋简体" w:cs="方正小标宋简体"/>
          <w:b w:val="0"/>
          <w:bCs w:val="0"/>
          <w:color w:val="auto"/>
          <w:sz w:val="44"/>
          <w:szCs w:val="44"/>
          <w:highlight w:val="none"/>
          <w:u w:val="none"/>
        </w:rPr>
        <w:t>管理办法</w:t>
      </w:r>
    </w:p>
    <w:p>
      <w:pPr>
        <w:keepNext w:val="0"/>
        <w:keepLines w:val="0"/>
        <w:pageBreakBefore w:val="0"/>
        <w:widowControl w:val="0"/>
        <w:kinsoku/>
        <w:wordWrap/>
        <w:overflowPunct/>
        <w:topLinePunct w:val="0"/>
        <w:autoSpaceDE/>
        <w:autoSpaceDN/>
        <w:bidi w:val="0"/>
        <w:adjustRightInd/>
        <w:snapToGrid w:val="0"/>
        <w:spacing w:after="294" w:afterLines="100" w:line="240" w:lineRule="auto"/>
        <w:jc w:val="center"/>
        <w:textAlignment w:val="auto"/>
        <w:outlineLvl w:val="9"/>
        <w:rPr>
          <w:rFonts w:hint="eastAsia" w:ascii="黑体" w:hAnsi="黑体" w:eastAsia="黑体" w:cs="黑体"/>
          <w:b w:val="0"/>
          <w:bCs/>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290" w:beforeLines="100" w:after="294" w:afterLines="100" w:line="600" w:lineRule="exact"/>
        <w:jc w:val="center"/>
        <w:textAlignment w:val="auto"/>
        <w:outlineLvl w:val="9"/>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rPr>
        <w:t xml:space="preserve">第一章 </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总</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仿宋_GB2312" w:hAnsi="仿宋" w:eastAsia="仿宋_GB2312" w:cs="Times New Roman"/>
          <w:color w:val="auto"/>
          <w:sz w:val="32"/>
          <w:szCs w:val="32"/>
          <w:highlight w:val="none"/>
          <w:u w:val="none"/>
        </w:rPr>
      </w:pPr>
      <w:r>
        <w:rPr>
          <w:rFonts w:hint="eastAsia" w:ascii="仿宋_GB2312" w:hAnsi="仿宋" w:eastAsia="仿宋_GB2312"/>
          <w:b/>
          <w:color w:val="auto"/>
          <w:kern w:val="0"/>
          <w:sz w:val="32"/>
          <w:szCs w:val="32"/>
          <w:highlight w:val="none"/>
          <w:u w:val="none"/>
        </w:rPr>
        <w:t>第一条</w:t>
      </w:r>
      <w:r>
        <w:rPr>
          <w:rFonts w:hint="eastAsia" w:ascii="仿宋_GB2312" w:eastAsia="仿宋_GB2312"/>
          <w:b/>
          <w:color w:val="auto"/>
          <w:sz w:val="32"/>
          <w:szCs w:val="32"/>
          <w:highlight w:val="none"/>
          <w:u w:val="none"/>
        </w:rPr>
        <w:t xml:space="preserve">  </w:t>
      </w:r>
      <w:r>
        <w:rPr>
          <w:rFonts w:hint="eastAsia" w:ascii="仿宋_GB2312" w:hAnsi="仿宋" w:eastAsia="仿宋_GB2312"/>
          <w:color w:val="auto"/>
          <w:sz w:val="32"/>
          <w:szCs w:val="32"/>
          <w:highlight w:val="none"/>
          <w:u w:val="none"/>
        </w:rPr>
        <w:t>为加强和规范省级财政</w:t>
      </w:r>
      <w:r>
        <w:rPr>
          <w:rFonts w:hint="eastAsia" w:ascii="仿宋_GB2312" w:hAnsi="仿宋" w:eastAsia="仿宋_GB2312"/>
          <w:color w:val="auto"/>
          <w:sz w:val="32"/>
          <w:szCs w:val="32"/>
          <w:highlight w:val="none"/>
          <w:u w:val="none"/>
          <w:lang w:eastAsia="zh-CN"/>
        </w:rPr>
        <w:t>林业生态保护</w:t>
      </w:r>
      <w:r>
        <w:rPr>
          <w:rFonts w:hint="eastAsia" w:ascii="仿宋_GB2312" w:hAnsi="仿宋" w:eastAsia="仿宋_GB2312"/>
          <w:color w:val="auto"/>
          <w:sz w:val="32"/>
          <w:szCs w:val="32"/>
          <w:highlight w:val="none"/>
          <w:u w:val="none"/>
        </w:rPr>
        <w:t>专项资金使用管理，提高资金使用效益，</w:t>
      </w:r>
      <w:r>
        <w:rPr>
          <w:rFonts w:hint="eastAsia" w:ascii="仿宋_GB2312" w:hAnsi="仿宋" w:eastAsia="仿宋_GB2312"/>
          <w:strike w:val="0"/>
          <w:dstrike w:val="0"/>
          <w:color w:val="auto"/>
          <w:sz w:val="32"/>
          <w:szCs w:val="32"/>
          <w:highlight w:val="none"/>
          <w:u w:val="none"/>
          <w:lang w:eastAsia="zh-CN"/>
        </w:rPr>
        <w:t>强化林业生态保护</w:t>
      </w:r>
      <w:r>
        <w:rPr>
          <w:rFonts w:hint="eastAsia" w:ascii="仿宋_GB2312" w:hAnsi="仿宋" w:eastAsia="仿宋_GB2312"/>
          <w:strike w:val="0"/>
          <w:dstrike w:val="0"/>
          <w:color w:val="auto"/>
          <w:sz w:val="32"/>
          <w:szCs w:val="32"/>
          <w:highlight w:val="none"/>
          <w:u w:val="none"/>
        </w:rPr>
        <w:t>，</w:t>
      </w:r>
      <w:r>
        <w:rPr>
          <w:rFonts w:hint="eastAsia" w:ascii="仿宋_GB2312" w:hAnsi="仿宋" w:eastAsia="仿宋_GB2312" w:cs="仿宋"/>
          <w:color w:val="auto"/>
          <w:sz w:val="32"/>
          <w:szCs w:val="32"/>
          <w:highlight w:val="none"/>
          <w:u w:val="none"/>
          <w:lang w:val="en-US" w:eastAsia="zh-CN"/>
        </w:rPr>
        <w:t>有力有效保障我省建设全国深化集体林权制度改革先行区，</w:t>
      </w:r>
      <w:r>
        <w:rPr>
          <w:rFonts w:hint="eastAsia" w:ascii="仿宋_GB2312" w:hAnsi="仿宋" w:eastAsia="仿宋_GB2312" w:cs="Times New Roman"/>
          <w:color w:val="auto"/>
          <w:sz w:val="32"/>
          <w:szCs w:val="32"/>
          <w:highlight w:val="none"/>
          <w:u w:val="none"/>
        </w:rPr>
        <w:t>根据</w:t>
      </w:r>
      <w:r>
        <w:rPr>
          <w:rFonts w:hint="eastAsia" w:ascii="仿宋_GB2312" w:hAnsi="仿宋" w:eastAsia="仿宋_GB2312" w:cs="Times New Roman"/>
          <w:color w:val="auto"/>
          <w:sz w:val="32"/>
          <w:szCs w:val="32"/>
          <w:highlight w:val="none"/>
          <w:u w:val="none"/>
          <w:lang w:eastAsia="zh-CN"/>
        </w:rPr>
        <w:t>《中华人民共和国预算法》《中华人民共和国森林法》《福建省省级财政专项资金管理办法》等规定</w:t>
      </w:r>
      <w:r>
        <w:rPr>
          <w:rFonts w:hint="eastAsia" w:ascii="仿宋_GB2312" w:hAnsi="仿宋" w:eastAsia="仿宋_GB2312" w:cs="Times New Roman"/>
          <w:color w:val="auto"/>
          <w:sz w:val="32"/>
          <w:szCs w:val="32"/>
          <w:highlight w:val="none"/>
          <w:u w:val="none"/>
        </w:rPr>
        <w:t>，制定本办法。</w:t>
      </w:r>
    </w:p>
    <w:p>
      <w:pPr>
        <w:keepNext w:val="0"/>
        <w:keepLines w:val="0"/>
        <w:pageBreakBefore w:val="0"/>
        <w:widowControl w:val="0"/>
        <w:tabs>
          <w:tab w:val="center" w:pos="4422"/>
        </w:tabs>
        <w:kinsoku/>
        <w:wordWrap/>
        <w:overflowPunct/>
        <w:topLinePunct w:val="0"/>
        <w:autoSpaceDE/>
        <w:autoSpaceDN/>
        <w:bidi w:val="0"/>
        <w:spacing w:line="600" w:lineRule="exact"/>
        <w:ind w:firstLine="622" w:firstLineChars="200"/>
        <w:textAlignment w:val="top"/>
        <w:outlineLvl w:val="9"/>
        <w:rPr>
          <w:rFonts w:hint="eastAsia" w:ascii="仿宋_GB2312" w:hAnsi="仿宋" w:eastAsia="仿宋_GB2312"/>
          <w:color w:val="auto"/>
          <w:sz w:val="32"/>
          <w:szCs w:val="32"/>
          <w:highlight w:val="none"/>
          <w:u w:val="none"/>
        </w:rPr>
      </w:pPr>
      <w:r>
        <w:rPr>
          <w:rFonts w:hint="eastAsia" w:ascii="仿宋_GB2312" w:hAnsi="仿宋" w:eastAsia="仿宋_GB2312"/>
          <w:b/>
          <w:color w:val="auto"/>
          <w:kern w:val="0"/>
          <w:sz w:val="32"/>
          <w:szCs w:val="32"/>
          <w:highlight w:val="none"/>
          <w:u w:val="none"/>
        </w:rPr>
        <w:t>第二条</w:t>
      </w:r>
      <w:r>
        <w:rPr>
          <w:rFonts w:hint="eastAsia" w:ascii="仿宋_GB2312" w:hAnsi="仿宋" w:eastAsia="仿宋_GB2312"/>
          <w:color w:val="auto"/>
          <w:sz w:val="32"/>
          <w:szCs w:val="32"/>
          <w:highlight w:val="none"/>
          <w:u w:val="none"/>
        </w:rPr>
        <w:t xml:space="preserve">  本办法所称省级财政林业</w:t>
      </w:r>
      <w:r>
        <w:rPr>
          <w:rFonts w:hint="eastAsia" w:ascii="仿宋_GB2312" w:hAnsi="仿宋" w:eastAsia="仿宋_GB2312"/>
          <w:color w:val="auto"/>
          <w:sz w:val="32"/>
          <w:szCs w:val="32"/>
          <w:highlight w:val="none"/>
          <w:u w:val="none"/>
          <w:lang w:eastAsia="zh-CN"/>
        </w:rPr>
        <w:t>生态保护</w:t>
      </w:r>
      <w:r>
        <w:rPr>
          <w:rFonts w:hint="eastAsia" w:ascii="仿宋_GB2312" w:hAnsi="仿宋" w:eastAsia="仿宋_GB2312"/>
          <w:color w:val="auto"/>
          <w:sz w:val="32"/>
          <w:szCs w:val="32"/>
          <w:highlight w:val="none"/>
          <w:u w:val="none"/>
        </w:rPr>
        <w:t>专项资金（以下简称“</w:t>
      </w:r>
      <w:r>
        <w:rPr>
          <w:rFonts w:hint="eastAsia" w:ascii="仿宋_GB2312" w:hAnsi="仿宋" w:eastAsia="仿宋_GB2312"/>
          <w:color w:val="auto"/>
          <w:sz w:val="32"/>
          <w:szCs w:val="32"/>
          <w:highlight w:val="none"/>
          <w:u w:val="none"/>
          <w:lang w:eastAsia="zh-CN"/>
        </w:rPr>
        <w:t>专项资金</w:t>
      </w:r>
      <w:r>
        <w:rPr>
          <w:rFonts w:hint="eastAsia" w:ascii="仿宋_GB2312" w:hAnsi="仿宋" w:eastAsia="仿宋_GB2312"/>
          <w:color w:val="auto"/>
          <w:sz w:val="32"/>
          <w:szCs w:val="32"/>
          <w:highlight w:val="none"/>
          <w:u w:val="none"/>
        </w:rPr>
        <w:t>”）是指省级财政预算安排的用于</w:t>
      </w:r>
      <w:r>
        <w:rPr>
          <w:rFonts w:hint="eastAsia" w:ascii="仿宋_GB2312" w:hAnsi="仿宋" w:eastAsia="仿宋_GB2312"/>
          <w:color w:val="auto"/>
          <w:sz w:val="32"/>
          <w:szCs w:val="32"/>
          <w:highlight w:val="none"/>
          <w:u w:val="none"/>
          <w:lang w:eastAsia="zh-CN"/>
        </w:rPr>
        <w:t>林业生态保护方面的共同财政事权资金，主要包括</w:t>
      </w:r>
      <w:r>
        <w:rPr>
          <w:rFonts w:hint="eastAsia" w:ascii="仿宋_GB2312" w:hAnsi="仿宋" w:eastAsia="仿宋_GB2312" w:cs="仿宋"/>
          <w:color w:val="auto"/>
          <w:sz w:val="32"/>
          <w:szCs w:val="32"/>
          <w:highlight w:val="none"/>
          <w:u w:val="none"/>
        </w:rPr>
        <w:t>省级以上自然保护地</w:t>
      </w:r>
      <w:r>
        <w:rPr>
          <w:rFonts w:hint="eastAsia" w:ascii="仿宋_GB2312" w:hAnsi="仿宋" w:eastAsia="仿宋_GB2312" w:cs="仿宋"/>
          <w:color w:val="auto"/>
          <w:sz w:val="32"/>
          <w:szCs w:val="32"/>
          <w:highlight w:val="none"/>
          <w:u w:val="none"/>
          <w:lang w:eastAsia="zh-CN"/>
        </w:rPr>
        <w:t>能力建设</w:t>
      </w:r>
      <w:r>
        <w:rPr>
          <w:rFonts w:hint="eastAsia" w:ascii="仿宋_GB2312" w:hAnsi="仿宋" w:eastAsia="仿宋_GB2312" w:cs="仿宋"/>
          <w:color w:val="auto"/>
          <w:sz w:val="32"/>
          <w:szCs w:val="32"/>
          <w:highlight w:val="none"/>
          <w:u w:val="none"/>
        </w:rPr>
        <w:t>、湿地保护修复、野生动植物保护、古树名木保护、林业防灾减灾</w:t>
      </w:r>
      <w:r>
        <w:rPr>
          <w:rFonts w:hint="eastAsia" w:ascii="仿宋_GB2312" w:hAnsi="仿宋" w:eastAsia="仿宋_GB2312" w:cs="仿宋"/>
          <w:color w:val="auto"/>
          <w:sz w:val="32"/>
          <w:szCs w:val="32"/>
          <w:highlight w:val="none"/>
          <w:u w:val="none"/>
          <w:lang w:eastAsia="zh-CN"/>
        </w:rPr>
        <w:t>、林草湿监测、</w:t>
      </w:r>
      <w:r>
        <w:rPr>
          <w:rFonts w:hint="eastAsia" w:ascii="仿宋_GB2312" w:hAnsi="仿宋" w:eastAsia="仿宋_GB2312" w:cs="仿宋"/>
          <w:color w:val="auto"/>
          <w:sz w:val="32"/>
          <w:szCs w:val="32"/>
          <w:highlight w:val="none"/>
          <w:u w:val="none"/>
        </w:rPr>
        <w:t>重点生态区位商品林赎买等改革</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rPr>
        <w:t>森林步道建设、国有林场</w:t>
      </w:r>
      <w:r>
        <w:rPr>
          <w:rFonts w:hint="eastAsia" w:ascii="仿宋_GB2312" w:hAnsi="仿宋" w:eastAsia="仿宋_GB2312" w:cs="仿宋"/>
          <w:color w:val="auto"/>
          <w:sz w:val="32"/>
          <w:szCs w:val="32"/>
          <w:highlight w:val="none"/>
          <w:u w:val="none"/>
          <w:lang w:eastAsia="zh-CN"/>
        </w:rPr>
        <w:t>能力</w:t>
      </w:r>
      <w:r>
        <w:rPr>
          <w:rFonts w:hint="eastAsia" w:ascii="仿宋_GB2312" w:hAnsi="仿宋" w:eastAsia="仿宋_GB2312" w:cs="仿宋"/>
          <w:color w:val="auto"/>
          <w:sz w:val="32"/>
          <w:szCs w:val="32"/>
          <w:highlight w:val="none"/>
          <w:u w:val="none"/>
        </w:rPr>
        <w:t>建设、</w:t>
      </w:r>
      <w:r>
        <w:rPr>
          <w:rFonts w:hint="eastAsia" w:ascii="仿宋_GB2312" w:hAnsi="仿宋" w:eastAsia="仿宋_GB2312" w:cs="仿宋"/>
          <w:color w:val="auto"/>
          <w:sz w:val="32"/>
          <w:szCs w:val="32"/>
          <w:highlight w:val="none"/>
          <w:u w:val="none"/>
          <w:lang w:eastAsia="zh-CN"/>
        </w:rPr>
        <w:t>林长制考核奖励、</w:t>
      </w:r>
      <w:r>
        <w:rPr>
          <w:rFonts w:hint="eastAsia" w:ascii="仿宋_GB2312" w:hAnsi="仿宋" w:eastAsia="仿宋_GB2312" w:cs="仿宋"/>
          <w:color w:val="auto"/>
          <w:sz w:val="32"/>
          <w:szCs w:val="32"/>
          <w:highlight w:val="none"/>
          <w:u w:val="none"/>
        </w:rPr>
        <w:t>国有林场事业</w:t>
      </w:r>
      <w:r>
        <w:rPr>
          <w:rFonts w:hint="eastAsia" w:ascii="仿宋_GB2312" w:hAnsi="仿宋" w:eastAsia="仿宋_GB2312" w:cs="仿宋"/>
          <w:color w:val="auto"/>
          <w:sz w:val="32"/>
          <w:szCs w:val="32"/>
          <w:highlight w:val="none"/>
          <w:u w:val="none"/>
          <w:lang w:eastAsia="zh-CN"/>
        </w:rPr>
        <w:t>经</w:t>
      </w:r>
      <w:r>
        <w:rPr>
          <w:rFonts w:hint="eastAsia" w:ascii="仿宋_GB2312" w:hAnsi="仿宋" w:eastAsia="仿宋_GB2312" w:cs="仿宋"/>
          <w:color w:val="auto"/>
          <w:sz w:val="32"/>
          <w:szCs w:val="32"/>
          <w:highlight w:val="none"/>
          <w:u w:val="none"/>
        </w:rPr>
        <w:t>费</w:t>
      </w:r>
      <w:r>
        <w:rPr>
          <w:rFonts w:hint="eastAsia" w:ascii="仿宋_GB2312" w:hAnsi="仿宋" w:eastAsia="仿宋_GB2312"/>
          <w:color w:val="auto"/>
          <w:sz w:val="32"/>
          <w:szCs w:val="32"/>
          <w:highlight w:val="none"/>
          <w:u w:val="none"/>
          <w:lang w:eastAsia="zh-CN"/>
        </w:rPr>
        <w:t>、林业资源管理基层</w:t>
      </w:r>
      <w:r>
        <w:rPr>
          <w:rFonts w:hint="eastAsia" w:ascii="仿宋_GB2312" w:hAnsi="仿宋" w:eastAsia="仿宋_GB2312" w:cs="仿宋"/>
          <w:color w:val="auto"/>
          <w:sz w:val="32"/>
          <w:szCs w:val="32"/>
          <w:highlight w:val="none"/>
          <w:u w:val="none"/>
          <w:lang w:val="en-US" w:eastAsia="zh-CN"/>
        </w:rPr>
        <w:t>试点补助</w:t>
      </w:r>
      <w:r>
        <w:rPr>
          <w:rFonts w:hint="eastAsia" w:ascii="仿宋_GB2312" w:hAnsi="仿宋" w:eastAsia="仿宋_GB2312"/>
          <w:color w:val="auto"/>
          <w:sz w:val="32"/>
          <w:szCs w:val="32"/>
          <w:highlight w:val="none"/>
          <w:u w:val="none"/>
        </w:rPr>
        <w:t>等</w:t>
      </w:r>
      <w:r>
        <w:rPr>
          <w:rFonts w:hint="eastAsia" w:ascii="仿宋_GB2312" w:hAnsi="仿宋" w:eastAsia="仿宋_GB2312"/>
          <w:color w:val="auto"/>
          <w:sz w:val="32"/>
          <w:szCs w:val="32"/>
          <w:highlight w:val="none"/>
          <w:u w:val="none"/>
          <w:lang w:eastAsia="zh-CN"/>
        </w:rPr>
        <w:t>方面的支出</w:t>
      </w:r>
      <w:r>
        <w:rPr>
          <w:rFonts w:hint="eastAsia" w:ascii="仿宋_GB2312" w:hAnsi="仿宋" w:eastAsia="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outlineLvl w:val="9"/>
        <w:rPr>
          <w:rFonts w:hint="eastAsia" w:ascii="仿宋_GB2312" w:hAnsi="仿宋" w:eastAsia="仿宋_GB2312" w:cs="Times New Roman"/>
          <w:color w:val="auto"/>
          <w:kern w:val="0"/>
          <w:sz w:val="32"/>
          <w:szCs w:val="32"/>
          <w:highlight w:val="none"/>
          <w:u w:val="none" w:color="auto"/>
        </w:rPr>
      </w:pPr>
      <w:r>
        <w:rPr>
          <w:rFonts w:hint="eastAsia" w:ascii="仿宋_GB2312" w:hAnsi="仿宋" w:eastAsia="仿宋_GB2312"/>
          <w:b/>
          <w:color w:val="auto"/>
          <w:sz w:val="32"/>
          <w:szCs w:val="32"/>
          <w:highlight w:val="none"/>
          <w:u w:val="none"/>
        </w:rPr>
        <w:t>第三条</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s="Times New Roman"/>
          <w:color w:val="auto"/>
          <w:kern w:val="0"/>
          <w:sz w:val="32"/>
          <w:szCs w:val="32"/>
          <w:highlight w:val="none"/>
          <w:u w:val="none" w:color="auto"/>
        </w:rPr>
        <w:t>专项资金由财政、林业部门共同管理。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outlineLvl w:val="9"/>
        <w:rPr>
          <w:rFonts w:hint="eastAsia" w:ascii="仿宋_GB2312" w:hAnsi="仿宋" w:eastAsia="仿宋_GB2312" w:cs="宋体"/>
          <w:color w:val="auto"/>
          <w:sz w:val="32"/>
          <w:szCs w:val="32"/>
          <w:highlight w:val="none"/>
          <w:u w:val="none" w:color="auto"/>
        </w:rPr>
      </w:pPr>
      <w:r>
        <w:rPr>
          <w:rFonts w:hint="eastAsia" w:ascii="仿宋_GB2312" w:hAnsi="仿宋" w:eastAsia="仿宋_GB2312" w:cs="Times New Roman"/>
          <w:color w:val="auto"/>
          <w:kern w:val="0"/>
          <w:sz w:val="32"/>
          <w:szCs w:val="32"/>
          <w:highlight w:val="none"/>
          <w:u w:val="none" w:color="auto"/>
        </w:rPr>
        <w:t>省</w:t>
      </w:r>
      <w:r>
        <w:rPr>
          <w:rFonts w:hint="eastAsia" w:ascii="仿宋_GB2312" w:hAnsi="仿宋" w:eastAsia="仿宋_GB2312" w:cs="宋体"/>
          <w:color w:val="auto"/>
          <w:sz w:val="32"/>
          <w:szCs w:val="32"/>
          <w:highlight w:val="none"/>
          <w:u w:val="none" w:color="auto"/>
        </w:rPr>
        <w:t>财政厅负责</w:t>
      </w:r>
      <w:r>
        <w:rPr>
          <w:rFonts w:hint="eastAsia" w:ascii="仿宋_GB2312" w:hAnsi="仿宋" w:eastAsia="仿宋_GB2312" w:cs="宋体"/>
          <w:color w:val="auto"/>
          <w:sz w:val="32"/>
          <w:szCs w:val="32"/>
          <w:highlight w:val="none"/>
          <w:u w:val="none" w:color="auto"/>
          <w:lang w:eastAsia="zh-CN"/>
        </w:rPr>
        <w:t>审核资金分配建议方案并下达预算，</w:t>
      </w:r>
      <w:r>
        <w:rPr>
          <w:rFonts w:hint="eastAsia" w:ascii="仿宋_GB2312" w:hAnsi="仿宋" w:eastAsia="仿宋_GB2312" w:cs="宋体"/>
          <w:color w:val="auto"/>
          <w:sz w:val="32"/>
          <w:szCs w:val="32"/>
          <w:highlight w:val="none"/>
          <w:u w:val="none" w:color="auto"/>
        </w:rPr>
        <w:t>组织开展预算绩效管理</w:t>
      </w:r>
      <w:r>
        <w:rPr>
          <w:rFonts w:hint="eastAsia" w:ascii="仿宋_GB2312" w:hAnsi="仿宋" w:eastAsia="仿宋_GB2312" w:cs="宋体"/>
          <w:color w:val="auto"/>
          <w:sz w:val="32"/>
          <w:szCs w:val="32"/>
          <w:highlight w:val="none"/>
          <w:u w:val="none" w:color="auto"/>
          <w:lang w:eastAsia="zh-CN"/>
        </w:rPr>
        <w:t>，监督专项资金支出活动，</w:t>
      </w:r>
      <w:r>
        <w:rPr>
          <w:rFonts w:hint="eastAsia" w:ascii="仿宋_GB2312" w:hAnsi="仿宋" w:eastAsia="仿宋_GB2312" w:cs="宋体"/>
          <w:color w:val="auto"/>
          <w:sz w:val="32"/>
          <w:szCs w:val="32"/>
          <w:highlight w:val="none"/>
          <w:u w:val="none" w:color="auto"/>
        </w:rPr>
        <w:t>指导</w:t>
      </w:r>
      <w:r>
        <w:rPr>
          <w:rFonts w:hint="eastAsia" w:ascii="仿宋_GB2312" w:hAnsi="Calibri" w:eastAsia="仿宋_GB2312" w:cs="Times New Roman"/>
          <w:color w:val="auto"/>
          <w:sz w:val="32"/>
          <w:szCs w:val="32"/>
          <w:highlight w:val="none"/>
          <w:u w:val="none" w:color="auto"/>
        </w:rPr>
        <w:t>市、县（区）</w:t>
      </w:r>
      <w:r>
        <w:rPr>
          <w:rFonts w:hint="eastAsia" w:ascii="仿宋_GB2312" w:hAnsi="仿宋" w:eastAsia="仿宋_GB2312" w:cs="宋体"/>
          <w:color w:val="auto"/>
          <w:sz w:val="32"/>
          <w:szCs w:val="32"/>
          <w:highlight w:val="none"/>
          <w:u w:val="none" w:color="auto"/>
        </w:rPr>
        <w:t>加强资金管理等</w:t>
      </w:r>
      <w:r>
        <w:rPr>
          <w:rFonts w:hint="eastAsia" w:ascii="仿宋_GB2312" w:hAnsi="仿宋" w:eastAsia="仿宋_GB2312" w:cs="宋体"/>
          <w:color w:val="auto"/>
          <w:sz w:val="32"/>
          <w:szCs w:val="32"/>
          <w:highlight w:val="none"/>
          <w:u w:val="none" w:color="auto"/>
          <w:lang w:eastAsia="zh-CN"/>
        </w:rPr>
        <w:t>工作</w:t>
      </w:r>
      <w:r>
        <w:rPr>
          <w:rFonts w:hint="eastAsia" w:ascii="仿宋_GB2312" w:hAnsi="仿宋" w:eastAsia="仿宋_GB2312" w:cs="宋体"/>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outlineLvl w:val="9"/>
        <w:rPr>
          <w:rFonts w:hint="eastAsia"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color="auto"/>
        </w:rPr>
        <w:t>省林业局负责编制相关规划，提出资金</w:t>
      </w:r>
      <w:r>
        <w:rPr>
          <w:rFonts w:hint="eastAsia" w:ascii="仿宋_GB2312" w:hAnsi="仿宋" w:eastAsia="仿宋_GB2312" w:cs="宋体"/>
          <w:color w:val="auto"/>
          <w:sz w:val="32"/>
          <w:szCs w:val="32"/>
          <w:highlight w:val="none"/>
          <w:u w:val="none" w:color="auto"/>
        </w:rPr>
        <w:t>分配建议方案，</w:t>
      </w:r>
      <w:r>
        <w:rPr>
          <w:rFonts w:hint="eastAsia" w:ascii="仿宋_GB2312" w:hAnsi="仿宋" w:eastAsia="仿宋_GB2312" w:cs="宋体"/>
          <w:color w:val="auto"/>
          <w:sz w:val="32"/>
          <w:szCs w:val="32"/>
          <w:highlight w:val="none"/>
          <w:u w:val="none" w:color="auto"/>
          <w:lang w:eastAsia="zh-CN"/>
        </w:rPr>
        <w:t>并对可能影响资金分配结果的有关数据和信息的真实性、准确性负责。按规定做好预算绩效管理，监督专项资金的使用，督促和指导</w:t>
      </w:r>
      <w:r>
        <w:rPr>
          <w:rFonts w:hint="eastAsia" w:ascii="仿宋_GB2312" w:hAnsi="Calibri" w:eastAsia="仿宋_GB2312" w:cs="Times New Roman"/>
          <w:color w:val="auto"/>
          <w:sz w:val="32"/>
          <w:szCs w:val="32"/>
          <w:highlight w:val="none"/>
          <w:u w:val="none" w:color="auto"/>
        </w:rPr>
        <w:t>市、县（区）</w:t>
      </w:r>
      <w:r>
        <w:rPr>
          <w:rFonts w:hint="eastAsia" w:ascii="仿宋_GB2312" w:hAnsi="仿宋" w:eastAsia="仿宋_GB2312" w:cs="宋体"/>
          <w:color w:val="auto"/>
          <w:sz w:val="32"/>
          <w:szCs w:val="32"/>
          <w:highlight w:val="none"/>
          <w:u w:val="none" w:color="auto"/>
          <w:lang w:eastAsia="zh-CN"/>
        </w:rPr>
        <w:t>做好项目和资金</w:t>
      </w:r>
      <w:r>
        <w:rPr>
          <w:rFonts w:hint="eastAsia" w:ascii="仿宋_GB2312" w:hAnsi="仿宋" w:eastAsia="仿宋_GB2312" w:cs="宋体"/>
          <w:color w:val="auto"/>
          <w:sz w:val="32"/>
          <w:szCs w:val="32"/>
          <w:highlight w:val="none"/>
          <w:u w:val="none" w:color="auto"/>
        </w:rPr>
        <w:t>使用管理监督工作等。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2" w:firstLineChars="200"/>
        <w:textAlignment w:val="auto"/>
        <w:outlineLvl w:val="9"/>
        <w:rPr>
          <w:rFonts w:hint="eastAsia" w:ascii="仿宋_GB2312" w:hAnsi="Calibri" w:eastAsia="仿宋_GB2312" w:cs="Times New Roman"/>
          <w:color w:val="auto"/>
          <w:sz w:val="32"/>
          <w:szCs w:val="32"/>
          <w:highlight w:val="none"/>
          <w:u w:val="none" w:color="auto"/>
        </w:rPr>
      </w:pPr>
      <w:r>
        <w:rPr>
          <w:rFonts w:hint="eastAsia" w:ascii="仿宋_GB2312" w:hAnsi="仿宋" w:eastAsia="仿宋_GB2312"/>
          <w:b/>
          <w:color w:val="auto"/>
          <w:sz w:val="32"/>
          <w:szCs w:val="32"/>
          <w:highlight w:val="none"/>
          <w:u w:val="none"/>
        </w:rPr>
        <w:t>第四条</w:t>
      </w:r>
      <w:r>
        <w:rPr>
          <w:rFonts w:hint="eastAsia" w:ascii="仿宋_GB2312" w:hAnsi="仿宋" w:eastAsia="仿宋_GB2312"/>
          <w:color w:val="auto"/>
          <w:sz w:val="32"/>
          <w:szCs w:val="32"/>
          <w:highlight w:val="none"/>
          <w:u w:val="none"/>
        </w:rPr>
        <w:t xml:space="preserve">  </w:t>
      </w:r>
      <w:r>
        <w:rPr>
          <w:rFonts w:hint="eastAsia" w:ascii="仿宋_GB2312" w:hAnsi="Calibri" w:eastAsia="仿宋_GB2312" w:cs="Times New Roman"/>
          <w:color w:val="auto"/>
          <w:sz w:val="32"/>
          <w:szCs w:val="32"/>
          <w:highlight w:val="none"/>
          <w:u w:val="none" w:color="auto"/>
        </w:rPr>
        <w:t>市、县（区）财政部门</w:t>
      </w:r>
      <w:r>
        <w:rPr>
          <w:rFonts w:hint="eastAsia" w:ascii="仿宋_GB2312" w:hAnsi="Calibri" w:eastAsia="仿宋_GB2312" w:cs="Times New Roman"/>
          <w:color w:val="auto"/>
          <w:sz w:val="32"/>
          <w:szCs w:val="32"/>
          <w:highlight w:val="none"/>
          <w:u w:val="none"/>
        </w:rPr>
        <w:t>负责</w:t>
      </w:r>
      <w:r>
        <w:rPr>
          <w:rFonts w:hint="eastAsia" w:ascii="仿宋_GB2312" w:hAnsi="仿宋" w:eastAsia="仿宋_GB2312" w:cs="宋体"/>
          <w:color w:val="auto"/>
          <w:sz w:val="32"/>
          <w:szCs w:val="32"/>
          <w:highlight w:val="none"/>
          <w:u w:val="none"/>
          <w:lang w:eastAsia="zh-CN"/>
        </w:rPr>
        <w:t>审核资金分配建议方案并下达预算，</w:t>
      </w:r>
      <w:r>
        <w:rPr>
          <w:rFonts w:hint="eastAsia" w:ascii="仿宋_GB2312" w:hAnsi="Calibri" w:eastAsia="仿宋_GB2312" w:cs="Times New Roman"/>
          <w:color w:val="auto"/>
          <w:sz w:val="32"/>
          <w:szCs w:val="32"/>
          <w:highlight w:val="none"/>
          <w:u w:val="none" w:color="auto"/>
        </w:rPr>
        <w:t>组织预算执行、资金使用管理和监督以及预算绩效管理工作等。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2" w:firstLineChars="200"/>
        <w:textAlignment w:val="auto"/>
        <w:outlineLvl w:val="9"/>
        <w:rPr>
          <w:rFonts w:hint="eastAsia" w:ascii="仿宋_GB2312" w:hAnsi="Calibri" w:eastAsia="仿宋_GB2312" w:cs="Times New Roman"/>
          <w:color w:val="auto"/>
          <w:sz w:val="32"/>
          <w:szCs w:val="32"/>
          <w:highlight w:val="none"/>
          <w:u w:val="none" w:color="auto"/>
        </w:rPr>
      </w:pPr>
      <w:r>
        <w:rPr>
          <w:rFonts w:hint="eastAsia" w:ascii="仿宋_GB2312" w:hAnsi="Calibri" w:eastAsia="仿宋_GB2312" w:cs="Times New Roman"/>
          <w:color w:val="auto"/>
          <w:sz w:val="32"/>
          <w:szCs w:val="32"/>
          <w:highlight w:val="none"/>
          <w:u w:val="none" w:color="auto"/>
        </w:rPr>
        <w:t>市、县（区）林业主管部门</w:t>
      </w:r>
      <w:r>
        <w:rPr>
          <w:rFonts w:hint="eastAsia" w:ascii="仿宋_GB2312" w:hAnsi="Calibri" w:eastAsia="仿宋_GB2312" w:cs="Times New Roman"/>
          <w:color w:val="auto"/>
          <w:sz w:val="32"/>
          <w:szCs w:val="32"/>
          <w:highlight w:val="none"/>
          <w:u w:val="none" w:color="auto"/>
          <w:lang w:eastAsia="zh-CN"/>
        </w:rPr>
        <w:t>负责提出专项资金分配建议方案，以及</w:t>
      </w:r>
      <w:r>
        <w:rPr>
          <w:rFonts w:hint="eastAsia" w:ascii="仿宋_GB2312" w:hAnsi="Calibri" w:eastAsia="仿宋_GB2312" w:cs="Times New Roman"/>
          <w:color w:val="auto"/>
          <w:sz w:val="32"/>
          <w:szCs w:val="32"/>
          <w:highlight w:val="none"/>
          <w:u w:val="none" w:color="auto"/>
        </w:rPr>
        <w:t>资金的具体使用管理和监督</w:t>
      </w:r>
      <w:r>
        <w:rPr>
          <w:rFonts w:hint="eastAsia" w:ascii="仿宋_GB2312" w:hAnsi="Calibri" w:eastAsia="仿宋_GB2312" w:cs="Times New Roman"/>
          <w:color w:val="auto"/>
          <w:sz w:val="32"/>
          <w:szCs w:val="32"/>
          <w:highlight w:val="none"/>
          <w:u w:val="none" w:color="auto"/>
          <w:lang w:eastAsia="zh-CN"/>
        </w:rPr>
        <w:t>、</w:t>
      </w:r>
      <w:r>
        <w:rPr>
          <w:rFonts w:hint="eastAsia" w:ascii="仿宋_GB2312" w:hAnsi="Calibri" w:eastAsia="仿宋_GB2312" w:cs="Times New Roman"/>
          <w:color w:val="auto"/>
          <w:sz w:val="32"/>
          <w:szCs w:val="32"/>
          <w:highlight w:val="none"/>
          <w:u w:val="none" w:color="auto"/>
        </w:rPr>
        <w:t>项目组织实施及预算绩效管理具体工作等。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2" w:firstLineChars="200"/>
        <w:textAlignment w:val="auto"/>
        <w:outlineLvl w:val="9"/>
        <w:rPr>
          <w:rFonts w:hint="eastAsia" w:ascii="仿宋_GB2312" w:hAnsi="Calibri" w:eastAsia="仿宋_GB2312" w:cs="Times New Roman"/>
          <w:color w:val="auto"/>
          <w:sz w:val="32"/>
          <w:szCs w:val="32"/>
          <w:highlight w:val="none"/>
          <w:u w:val="none" w:color="auto"/>
          <w:lang w:eastAsia="zh-CN"/>
        </w:rPr>
      </w:pPr>
      <w:r>
        <w:rPr>
          <w:rFonts w:hint="eastAsia" w:ascii="仿宋_GB2312" w:hAnsi="Calibri" w:eastAsia="仿宋_GB2312" w:cs="Times New Roman"/>
          <w:color w:val="auto"/>
          <w:sz w:val="32"/>
          <w:szCs w:val="32"/>
          <w:highlight w:val="none"/>
          <w:u w:val="none" w:color="auto"/>
          <w:lang w:eastAsia="zh-CN"/>
        </w:rPr>
        <w:t>市、县（区）财政部门、林业主管部门应当对上报的可能影响资金分配结果的有关数据和信息的真实性、准确性负责。</w:t>
      </w:r>
    </w:p>
    <w:p>
      <w:pPr>
        <w:keepNext w:val="0"/>
        <w:keepLines w:val="0"/>
        <w:pageBreakBefore w:val="0"/>
        <w:widowControl w:val="0"/>
        <w:numPr>
          <w:ilvl w:val="0"/>
          <w:numId w:val="0"/>
        </w:numPr>
        <w:kinsoku/>
        <w:wordWrap/>
        <w:overflowPunct/>
        <w:topLinePunct w:val="0"/>
        <w:autoSpaceDE/>
        <w:autoSpaceDN/>
        <w:bidi w:val="0"/>
        <w:adjustRightInd/>
        <w:snapToGrid w:val="0"/>
        <w:spacing w:before="290" w:beforeLines="100" w:after="294" w:afterLines="100" w:line="600" w:lineRule="exact"/>
        <w:jc w:val="center"/>
        <w:textAlignment w:val="auto"/>
        <w:outlineLvl w:val="9"/>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第二章  资金使用范围</w:t>
      </w:r>
    </w:p>
    <w:p>
      <w:pPr>
        <w:keepNext w:val="0"/>
        <w:keepLines w:val="0"/>
        <w:pageBreakBefore w:val="0"/>
        <w:widowControl w:val="0"/>
        <w:numPr>
          <w:ilvl w:val="0"/>
          <w:numId w:val="0"/>
        </w:numPr>
        <w:tabs>
          <w:tab w:val="center" w:pos="4422"/>
        </w:tabs>
        <w:kinsoku/>
        <w:wordWrap/>
        <w:overflowPunct/>
        <w:topLinePunct w:val="0"/>
        <w:autoSpaceDE/>
        <w:autoSpaceDN/>
        <w:bidi w:val="0"/>
        <w:spacing w:line="600" w:lineRule="exact"/>
        <w:ind w:firstLine="622" w:firstLineChars="200"/>
        <w:textAlignment w:val="top"/>
        <w:outlineLvl w:val="9"/>
        <w:rPr>
          <w:rFonts w:hint="eastAsia" w:ascii="仿宋_GB2312" w:hAnsi="仿宋" w:eastAsia="仿宋_GB2312"/>
          <w:b/>
          <w:color w:val="auto"/>
          <w:sz w:val="32"/>
          <w:szCs w:val="32"/>
          <w:highlight w:val="none"/>
          <w:u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五</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cs="仿宋"/>
          <w:color w:val="auto"/>
          <w:sz w:val="32"/>
          <w:szCs w:val="32"/>
          <w:highlight w:val="none"/>
          <w:u w:val="none"/>
          <w:lang w:eastAsia="zh-CN"/>
        </w:rPr>
        <w:t>省级以上</w:t>
      </w:r>
      <w:r>
        <w:rPr>
          <w:rFonts w:hint="eastAsia" w:ascii="仿宋_GB2312" w:hAnsi="仿宋" w:eastAsia="仿宋_GB2312" w:cs="仿宋"/>
          <w:color w:val="auto"/>
          <w:sz w:val="32"/>
          <w:szCs w:val="32"/>
          <w:highlight w:val="none"/>
          <w:u w:val="none"/>
        </w:rPr>
        <w:t>自然保护</w:t>
      </w:r>
      <w:r>
        <w:rPr>
          <w:rFonts w:hint="eastAsia" w:ascii="仿宋_GB2312" w:hAnsi="仿宋" w:eastAsia="仿宋_GB2312" w:cs="仿宋"/>
          <w:color w:val="auto"/>
          <w:sz w:val="32"/>
          <w:szCs w:val="32"/>
          <w:highlight w:val="none"/>
          <w:u w:val="none"/>
          <w:lang w:eastAsia="zh-CN"/>
        </w:rPr>
        <w:t>地能力建设</w:t>
      </w:r>
      <w:r>
        <w:rPr>
          <w:rFonts w:hint="eastAsia" w:ascii="仿宋_GB2312" w:hAnsi="仿宋" w:eastAsia="仿宋_GB2312" w:cs="仿宋"/>
          <w:color w:val="auto"/>
          <w:sz w:val="32"/>
          <w:szCs w:val="32"/>
          <w:highlight w:val="none"/>
          <w:u w:val="none"/>
        </w:rPr>
        <w:t>补助指用于省级以上自然保护</w:t>
      </w:r>
      <w:r>
        <w:rPr>
          <w:rFonts w:hint="eastAsia" w:ascii="仿宋_GB2312" w:hAnsi="仿宋" w:eastAsia="仿宋_GB2312" w:cs="仿宋"/>
          <w:color w:val="auto"/>
          <w:sz w:val="32"/>
          <w:szCs w:val="32"/>
          <w:highlight w:val="none"/>
          <w:u w:val="none"/>
          <w:lang w:eastAsia="zh-CN"/>
        </w:rPr>
        <w:t>地（不含国家公园、湿地）</w:t>
      </w:r>
      <w:r>
        <w:rPr>
          <w:rFonts w:hint="eastAsia" w:ascii="仿宋_GB2312" w:hAnsi="仿宋" w:eastAsia="仿宋_GB2312" w:cs="仿宋"/>
          <w:color w:val="auto"/>
          <w:sz w:val="32"/>
          <w:szCs w:val="32"/>
          <w:highlight w:val="none"/>
          <w:u w:val="none"/>
        </w:rPr>
        <w:t>生态保护、修复与治理，特种救护、保护设施设备购置和维护修缮，</w:t>
      </w:r>
      <w:r>
        <w:rPr>
          <w:rFonts w:hint="eastAsia" w:ascii="仿宋_GB2312" w:hAnsi="仿宋" w:eastAsia="仿宋_GB2312" w:cs="仿宋"/>
          <w:color w:val="auto"/>
          <w:sz w:val="32"/>
          <w:szCs w:val="32"/>
          <w:highlight w:val="none"/>
          <w:u w:val="none"/>
          <w:lang w:eastAsia="zh-CN"/>
        </w:rPr>
        <w:t>资源</w:t>
      </w:r>
      <w:r>
        <w:rPr>
          <w:rFonts w:hint="eastAsia" w:ascii="仿宋_GB2312" w:hAnsi="仿宋" w:eastAsia="仿宋_GB2312" w:cs="仿宋"/>
          <w:color w:val="auto"/>
          <w:sz w:val="32"/>
          <w:szCs w:val="32"/>
          <w:highlight w:val="none"/>
          <w:u w:val="none"/>
        </w:rPr>
        <w:t>调查和监测，巡护、</w:t>
      </w:r>
      <w:r>
        <w:rPr>
          <w:rFonts w:hint="eastAsia" w:ascii="仿宋_GB2312" w:hAnsi="仿宋" w:eastAsia="仿宋_GB2312" w:cs="仿宋"/>
          <w:color w:val="auto"/>
          <w:sz w:val="32"/>
          <w:szCs w:val="32"/>
          <w:highlight w:val="none"/>
          <w:u w:val="none"/>
          <w:lang w:val="en-US" w:eastAsia="zh-CN"/>
        </w:rPr>
        <w:t>自然教育、规划编制</w:t>
      </w:r>
      <w:r>
        <w:rPr>
          <w:rFonts w:hint="eastAsia" w:ascii="仿宋_GB2312" w:hAnsi="仿宋" w:eastAsia="仿宋_GB2312" w:cs="仿宋"/>
          <w:color w:val="auto"/>
          <w:sz w:val="32"/>
          <w:szCs w:val="32"/>
          <w:highlight w:val="none"/>
          <w:u w:val="none"/>
          <w:lang w:eastAsia="zh-CN"/>
        </w:rPr>
        <w:t>等补助</w:t>
      </w:r>
      <w:r>
        <w:rPr>
          <w:rFonts w:hint="eastAsia" w:ascii="仿宋_GB2312" w:hAnsi="仿宋" w:eastAsia="仿宋_GB2312" w:cs="仿宋"/>
          <w:color w:val="auto"/>
          <w:sz w:val="32"/>
          <w:szCs w:val="32"/>
          <w:highlight w:val="none"/>
          <w:u w:val="none"/>
        </w:rPr>
        <w:t>。</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600" w:lineRule="exact"/>
        <w:ind w:firstLine="622" w:firstLineChars="200"/>
        <w:textAlignment w:val="top"/>
        <w:outlineLvl w:val="9"/>
        <w:rPr>
          <w:rFonts w:hint="eastAsia" w:ascii="仿宋_GB2312" w:hAnsi="仿宋" w:eastAsia="仿宋_GB2312" w:cs="仿宋"/>
          <w:color w:val="auto"/>
          <w:sz w:val="32"/>
          <w:szCs w:val="32"/>
          <w:highlight w:val="none"/>
          <w:u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六</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cs="仿宋"/>
          <w:color w:val="auto"/>
          <w:sz w:val="32"/>
          <w:szCs w:val="32"/>
          <w:highlight w:val="none"/>
          <w:u w:val="none"/>
        </w:rPr>
        <w:t>湿地保护修复补助包括湿地保护与恢复补助、湿地生态效益补偿补助。</w:t>
      </w:r>
    </w:p>
    <w:p>
      <w:pPr>
        <w:keepNext w:val="0"/>
        <w:keepLines w:val="0"/>
        <w:pageBreakBefore w:val="0"/>
        <w:widowControl w:val="0"/>
        <w:numPr>
          <w:ilvl w:val="0"/>
          <w:numId w:val="0"/>
        </w:numPr>
        <w:tabs>
          <w:tab w:val="center" w:pos="4422"/>
        </w:tabs>
        <w:kinsoku/>
        <w:wordWrap/>
        <w:overflowPunct/>
        <w:topLinePunct w:val="0"/>
        <w:autoSpaceDE/>
        <w:autoSpaceDN/>
        <w:bidi w:val="0"/>
        <w:spacing w:line="600" w:lineRule="exact"/>
        <w:ind w:firstLine="622" w:firstLineChars="200"/>
        <w:textAlignment w:val="top"/>
        <w:outlineLvl w:val="9"/>
        <w:rPr>
          <w:rFonts w:hint="eastAsia"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湿地保护与恢复补助指用于林业</w:t>
      </w:r>
      <w:r>
        <w:rPr>
          <w:rFonts w:hint="eastAsia" w:ascii="仿宋_GB2312" w:hAnsi="仿宋" w:eastAsia="仿宋_GB2312" w:cs="仿宋"/>
          <w:color w:val="auto"/>
          <w:sz w:val="32"/>
          <w:szCs w:val="32"/>
          <w:highlight w:val="none"/>
          <w:u w:val="none"/>
          <w:lang w:eastAsia="zh-CN"/>
        </w:rPr>
        <w:t>主管</w:t>
      </w:r>
      <w:r>
        <w:rPr>
          <w:rFonts w:hint="eastAsia" w:ascii="仿宋_GB2312" w:hAnsi="仿宋" w:eastAsia="仿宋_GB2312" w:cs="仿宋"/>
          <w:color w:val="auto"/>
          <w:sz w:val="32"/>
          <w:szCs w:val="32"/>
          <w:highlight w:val="none"/>
          <w:u w:val="none"/>
        </w:rPr>
        <w:t>部门管理的省级以上重要湿地、湿地公园和湿地类型自然保护区实施湿地保护与</w:t>
      </w:r>
      <w:r>
        <w:rPr>
          <w:rFonts w:hint="eastAsia" w:ascii="仿宋_GB2312" w:hAnsi="仿宋" w:eastAsia="仿宋_GB2312" w:cs="仿宋"/>
          <w:color w:val="auto"/>
          <w:sz w:val="32"/>
          <w:szCs w:val="32"/>
          <w:highlight w:val="none"/>
          <w:u w:val="none"/>
          <w:lang w:eastAsia="zh-CN"/>
        </w:rPr>
        <w:t>修</w:t>
      </w:r>
      <w:r>
        <w:rPr>
          <w:rFonts w:hint="eastAsia" w:ascii="仿宋_GB2312" w:hAnsi="仿宋" w:eastAsia="仿宋_GB2312" w:cs="仿宋"/>
          <w:color w:val="auto"/>
          <w:sz w:val="32"/>
          <w:szCs w:val="32"/>
          <w:highlight w:val="none"/>
          <w:u w:val="none"/>
        </w:rPr>
        <w:t>复、管护宣教设施设备购置维护、资源调查和监测、巡护、开展自然教育等相关补助。</w:t>
      </w:r>
    </w:p>
    <w:p>
      <w:pPr>
        <w:keepNext w:val="0"/>
        <w:keepLines w:val="0"/>
        <w:pageBreakBefore w:val="0"/>
        <w:widowControl w:val="0"/>
        <w:numPr>
          <w:ilvl w:val="0"/>
          <w:numId w:val="0"/>
        </w:numPr>
        <w:tabs>
          <w:tab w:val="center" w:pos="4422"/>
        </w:tabs>
        <w:kinsoku/>
        <w:wordWrap/>
        <w:overflowPunct/>
        <w:topLinePunct w:val="0"/>
        <w:autoSpaceDE/>
        <w:autoSpaceDN/>
        <w:bidi w:val="0"/>
        <w:spacing w:line="600" w:lineRule="exact"/>
        <w:ind w:firstLine="622" w:firstLineChars="200"/>
        <w:textAlignment w:val="top"/>
        <w:outlineLvl w:val="9"/>
        <w:rPr>
          <w:rFonts w:hint="eastAsia"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lang w:eastAsia="zh-CN"/>
        </w:rPr>
        <w:t>湿地生态效益补偿补助指用于对候鸟迁飞路线上的林业主管部门管理的重要湿地、湿地公园、湿地类型自然保护区因鸟类等野生动物保护造成损失给予的补偿补助支出。</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600" w:lineRule="exact"/>
        <w:ind w:firstLine="622" w:firstLineChars="200"/>
        <w:textAlignment w:val="top"/>
        <w:outlineLvl w:val="9"/>
        <w:rPr>
          <w:rFonts w:hint="eastAsia" w:ascii="仿宋_GB2312" w:hAnsi="仿宋" w:eastAsia="仿宋_GB2312" w:cs="仿宋"/>
          <w:color w:val="auto"/>
          <w:sz w:val="32"/>
          <w:szCs w:val="32"/>
          <w:highlight w:val="none"/>
          <w:u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七</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cs="仿宋"/>
          <w:color w:val="auto"/>
          <w:sz w:val="32"/>
          <w:szCs w:val="32"/>
          <w:highlight w:val="none"/>
          <w:u w:val="none"/>
        </w:rPr>
        <w:t>野生动植物保护补助指</w:t>
      </w:r>
      <w:r>
        <w:rPr>
          <w:rFonts w:hint="eastAsia" w:ascii="仿宋_GB2312" w:hAnsi="仿宋" w:eastAsia="仿宋_GB2312" w:cs="仿宋"/>
          <w:color w:val="auto"/>
          <w:sz w:val="32"/>
          <w:szCs w:val="32"/>
          <w:highlight w:val="none"/>
          <w:u w:val="none"/>
          <w:lang w:eastAsia="zh-CN"/>
        </w:rPr>
        <w:t>用于</w:t>
      </w:r>
      <w:r>
        <w:rPr>
          <w:rFonts w:hint="eastAsia" w:ascii="仿宋_GB2312" w:hAnsi="仿宋" w:eastAsia="仿宋_GB2312" w:cs="仿宋"/>
          <w:color w:val="auto"/>
          <w:sz w:val="32"/>
          <w:szCs w:val="32"/>
          <w:highlight w:val="none"/>
          <w:u w:val="none"/>
        </w:rPr>
        <w:t>对珍稀濒危野生动物和极小种群野生植物保护</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rPr>
        <w:t>野生动植物资源调查</w:t>
      </w:r>
      <w:r>
        <w:rPr>
          <w:rFonts w:hint="eastAsia" w:ascii="仿宋_GB2312" w:hAnsi="仿宋" w:eastAsia="仿宋_GB2312" w:cs="仿宋"/>
          <w:color w:val="auto"/>
          <w:sz w:val="32"/>
          <w:szCs w:val="32"/>
          <w:highlight w:val="none"/>
          <w:u w:val="none"/>
          <w:lang w:eastAsia="zh-CN"/>
        </w:rPr>
        <w:t>和监测、</w:t>
      </w:r>
      <w:r>
        <w:rPr>
          <w:rFonts w:hint="eastAsia" w:ascii="仿宋_GB2312" w:hAnsi="仿宋" w:eastAsia="仿宋_GB2312" w:cs="仿宋"/>
          <w:color w:val="auto"/>
          <w:sz w:val="32"/>
          <w:szCs w:val="32"/>
          <w:highlight w:val="none"/>
          <w:u w:val="none"/>
        </w:rPr>
        <w:t>野生动物收容救护</w:t>
      </w:r>
      <w:r>
        <w:rPr>
          <w:rFonts w:hint="eastAsia" w:ascii="仿宋_GB2312" w:hAnsi="仿宋" w:eastAsia="仿宋_GB2312" w:cs="仿宋"/>
          <w:color w:val="auto"/>
          <w:sz w:val="32"/>
          <w:szCs w:val="32"/>
          <w:highlight w:val="none"/>
          <w:u w:val="none"/>
          <w:lang w:eastAsia="zh-CN"/>
        </w:rPr>
        <w:t>和</w:t>
      </w:r>
      <w:r>
        <w:rPr>
          <w:rFonts w:hint="eastAsia" w:ascii="仿宋_GB2312" w:hAnsi="仿宋" w:eastAsia="仿宋_GB2312" w:cs="仿宋"/>
          <w:color w:val="auto"/>
          <w:sz w:val="32"/>
          <w:szCs w:val="32"/>
          <w:highlight w:val="none"/>
          <w:u w:val="none"/>
        </w:rPr>
        <w:t>疫源疫病监测防控、</w:t>
      </w:r>
      <w:r>
        <w:rPr>
          <w:rFonts w:hint="eastAsia" w:ascii="仿宋_GB2312" w:hAnsi="仿宋" w:eastAsia="仿宋_GB2312" w:cs="仿宋"/>
          <w:color w:val="auto"/>
          <w:sz w:val="32"/>
          <w:szCs w:val="32"/>
          <w:highlight w:val="none"/>
          <w:u w:val="none"/>
          <w:lang w:eastAsia="zh-CN"/>
        </w:rPr>
        <w:t>致害严重的陆生野生动物危害防控和</w:t>
      </w:r>
      <w:r>
        <w:rPr>
          <w:rFonts w:hint="eastAsia" w:ascii="仿宋_GB2312" w:hAnsi="仿宋" w:eastAsia="仿宋_GB2312" w:cs="仿宋"/>
          <w:color w:val="auto"/>
          <w:sz w:val="32"/>
          <w:szCs w:val="32"/>
          <w:highlight w:val="none"/>
          <w:u w:val="none"/>
        </w:rPr>
        <w:t>补偿</w:t>
      </w:r>
      <w:r>
        <w:rPr>
          <w:rFonts w:hint="eastAsia" w:ascii="仿宋_GB2312" w:hAnsi="仿宋" w:eastAsia="仿宋_GB2312" w:cs="仿宋"/>
          <w:color w:val="auto"/>
          <w:sz w:val="32"/>
          <w:szCs w:val="32"/>
          <w:highlight w:val="none"/>
          <w:u w:val="none"/>
          <w:lang w:eastAsia="zh-CN"/>
        </w:rPr>
        <w:t>，罚没物移交保管及处置</w:t>
      </w:r>
      <w:r>
        <w:rPr>
          <w:rFonts w:hint="eastAsia" w:ascii="仿宋_GB2312" w:hAnsi="仿宋" w:eastAsia="仿宋_GB2312" w:cs="仿宋"/>
          <w:color w:val="auto"/>
          <w:sz w:val="32"/>
          <w:szCs w:val="32"/>
          <w:highlight w:val="none"/>
          <w:u w:val="none"/>
        </w:rPr>
        <w:t>等相关支出</w:t>
      </w:r>
      <w:r>
        <w:rPr>
          <w:rFonts w:hint="eastAsia" w:ascii="仿宋_GB2312" w:eastAsia="仿宋_GB2312"/>
          <w:color w:val="auto"/>
          <w:sz w:val="32"/>
          <w:szCs w:val="32"/>
          <w:highlight w:val="none"/>
          <w:u w:val="none"/>
        </w:rPr>
        <w:t>的补助。</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600" w:lineRule="exact"/>
        <w:ind w:firstLine="622" w:firstLineChars="200"/>
        <w:textAlignment w:val="top"/>
        <w:outlineLvl w:val="9"/>
        <w:rPr>
          <w:rFonts w:hint="eastAsia" w:ascii="仿宋_GB2312" w:hAnsi="仿宋" w:eastAsia="仿宋_GB2312" w:cs="仿宋"/>
          <w:color w:val="auto"/>
          <w:sz w:val="32"/>
          <w:szCs w:val="32"/>
          <w:highlight w:val="none"/>
          <w:u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八</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cs="仿宋"/>
          <w:color w:val="auto"/>
          <w:sz w:val="32"/>
          <w:szCs w:val="32"/>
          <w:highlight w:val="none"/>
          <w:u w:val="none"/>
        </w:rPr>
        <w:t>古树名木保护补助指</w:t>
      </w:r>
      <w:r>
        <w:rPr>
          <w:rFonts w:hint="eastAsia" w:ascii="仿宋_GB2312" w:hAnsi="仿宋" w:eastAsia="仿宋_GB2312" w:cs="仿宋"/>
          <w:color w:val="auto"/>
          <w:sz w:val="32"/>
          <w:szCs w:val="32"/>
          <w:highlight w:val="none"/>
          <w:u w:val="none"/>
          <w:lang w:eastAsia="zh-CN"/>
        </w:rPr>
        <w:t>用于</w:t>
      </w:r>
      <w:r>
        <w:rPr>
          <w:rFonts w:hint="eastAsia" w:ascii="仿宋_GB2312" w:hAnsi="仿宋" w:eastAsia="仿宋_GB2312" w:cs="仿宋"/>
          <w:color w:val="auto"/>
          <w:sz w:val="32"/>
          <w:szCs w:val="32"/>
          <w:highlight w:val="none"/>
          <w:u w:val="none"/>
        </w:rPr>
        <w:t>对古树名木</w:t>
      </w:r>
      <w:r>
        <w:rPr>
          <w:rFonts w:hint="eastAsia" w:ascii="仿宋_GB2312" w:hAnsi="仿宋" w:eastAsia="仿宋_GB2312" w:cs="仿宋"/>
          <w:color w:val="auto"/>
          <w:sz w:val="32"/>
          <w:szCs w:val="32"/>
          <w:highlight w:val="none"/>
          <w:u w:val="none"/>
          <w:lang w:eastAsia="zh-CN"/>
        </w:rPr>
        <w:t>（含古树群）的</w:t>
      </w:r>
      <w:r>
        <w:rPr>
          <w:rFonts w:hint="eastAsia" w:ascii="仿宋_GB2312" w:hAnsi="仿宋" w:eastAsia="仿宋_GB2312" w:cs="仿宋"/>
          <w:color w:val="auto"/>
          <w:sz w:val="32"/>
          <w:szCs w:val="32"/>
          <w:highlight w:val="none"/>
          <w:u w:val="none"/>
        </w:rPr>
        <w:t>树体、生境、景观保护</w:t>
      </w:r>
      <w:r>
        <w:rPr>
          <w:rFonts w:hint="eastAsia" w:ascii="仿宋_GB2312" w:hAnsi="仿宋" w:eastAsia="仿宋_GB2312" w:cs="仿宋"/>
          <w:color w:val="auto"/>
          <w:sz w:val="32"/>
          <w:szCs w:val="32"/>
          <w:highlight w:val="none"/>
          <w:u w:val="none"/>
          <w:lang w:eastAsia="zh-CN"/>
        </w:rPr>
        <w:t>修复及资源调查</w:t>
      </w:r>
      <w:r>
        <w:rPr>
          <w:rFonts w:hint="eastAsia" w:ascii="仿宋_GB2312" w:hAnsi="仿宋" w:eastAsia="仿宋_GB2312" w:cs="仿宋"/>
          <w:color w:val="auto"/>
          <w:sz w:val="32"/>
          <w:szCs w:val="32"/>
          <w:highlight w:val="none"/>
          <w:u w:val="none"/>
        </w:rPr>
        <w:t>等相关支出的补助。</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600" w:lineRule="exact"/>
        <w:ind w:firstLine="622" w:firstLineChars="200"/>
        <w:textAlignment w:val="top"/>
        <w:outlineLvl w:val="9"/>
        <w:rPr>
          <w:rFonts w:hint="eastAsia" w:ascii="仿宋_GB2312" w:hAnsi="仿宋" w:eastAsia="仿宋_GB2312" w:cs="仿宋"/>
          <w:color w:val="auto"/>
          <w:sz w:val="32"/>
          <w:szCs w:val="32"/>
          <w:highlight w:val="none"/>
          <w:u w:val="none"/>
          <w:lang w:eastAsia="zh-CN"/>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九</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cs="仿宋"/>
          <w:color w:val="auto"/>
          <w:sz w:val="32"/>
          <w:szCs w:val="32"/>
          <w:highlight w:val="none"/>
          <w:u w:val="none"/>
        </w:rPr>
        <w:t>林业防灾减灾补助包括森林防火补助、</w:t>
      </w:r>
      <w:r>
        <w:rPr>
          <w:rFonts w:hint="eastAsia" w:ascii="仿宋_GB2312" w:hAnsi="仿宋" w:eastAsia="仿宋_GB2312" w:cs="仿宋"/>
          <w:bCs/>
          <w:color w:val="auto"/>
          <w:sz w:val="32"/>
          <w:szCs w:val="32"/>
          <w:highlight w:val="none"/>
          <w:u w:val="none"/>
        </w:rPr>
        <w:t>林业有害生物防治补助、林业生产救灾补助。</w:t>
      </w:r>
    </w:p>
    <w:p>
      <w:pPr>
        <w:keepNext w:val="0"/>
        <w:keepLines w:val="0"/>
        <w:pageBreakBefore w:val="0"/>
        <w:widowControl w:val="0"/>
        <w:numPr>
          <w:ilvl w:val="0"/>
          <w:numId w:val="0"/>
        </w:numPr>
        <w:tabs>
          <w:tab w:val="center" w:pos="4422"/>
        </w:tabs>
        <w:kinsoku/>
        <w:wordWrap/>
        <w:overflowPunct/>
        <w:topLinePunct w:val="0"/>
        <w:autoSpaceDE/>
        <w:autoSpaceDN/>
        <w:bidi w:val="0"/>
        <w:spacing w:line="600" w:lineRule="exact"/>
        <w:ind w:firstLine="622" w:firstLineChars="200"/>
        <w:textAlignment w:val="top"/>
        <w:outlineLvl w:val="9"/>
        <w:rPr>
          <w:rFonts w:hint="eastAsia"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森林防火补助指用于森林火灾预防、火情早期处理等相关支出的补助。</w:t>
      </w:r>
    </w:p>
    <w:p>
      <w:pPr>
        <w:keepNext w:val="0"/>
        <w:keepLines w:val="0"/>
        <w:pageBreakBefore w:val="0"/>
        <w:widowControl w:val="0"/>
        <w:numPr>
          <w:ilvl w:val="0"/>
          <w:numId w:val="0"/>
        </w:numPr>
        <w:tabs>
          <w:tab w:val="center" w:pos="4422"/>
        </w:tabs>
        <w:kinsoku/>
        <w:wordWrap/>
        <w:overflowPunct/>
        <w:topLinePunct w:val="0"/>
        <w:autoSpaceDE/>
        <w:autoSpaceDN/>
        <w:bidi w:val="0"/>
        <w:spacing w:line="600" w:lineRule="exact"/>
        <w:ind w:firstLine="622" w:firstLineChars="200"/>
        <w:textAlignment w:val="top"/>
        <w:outlineLvl w:val="9"/>
        <w:rPr>
          <w:rFonts w:hint="eastAsia" w:ascii="仿宋_GB2312" w:hAnsi="仿宋" w:eastAsia="仿宋_GB2312" w:cs="仿宋"/>
          <w:bCs/>
          <w:color w:val="auto"/>
          <w:sz w:val="32"/>
          <w:szCs w:val="32"/>
          <w:highlight w:val="none"/>
          <w:u w:val="none"/>
          <w:lang w:eastAsia="zh-CN"/>
        </w:rPr>
      </w:pPr>
      <w:r>
        <w:rPr>
          <w:rFonts w:hint="eastAsia" w:ascii="仿宋_GB2312" w:hAnsi="仿宋" w:eastAsia="仿宋_GB2312" w:cs="仿宋"/>
          <w:bCs/>
          <w:color w:val="auto"/>
          <w:sz w:val="32"/>
          <w:szCs w:val="32"/>
          <w:highlight w:val="none"/>
          <w:u w:val="none"/>
        </w:rPr>
        <w:t>林业有害生物防治补助指用</w:t>
      </w:r>
      <w:r>
        <w:rPr>
          <w:rFonts w:hint="eastAsia" w:ascii="仿宋_GB2312" w:hAnsi="仿宋" w:eastAsia="仿宋_GB2312" w:cs="仿宋"/>
          <w:color w:val="auto"/>
          <w:sz w:val="32"/>
          <w:szCs w:val="32"/>
          <w:highlight w:val="none"/>
          <w:u w:val="none"/>
        </w:rPr>
        <w:t>于</w:t>
      </w:r>
      <w:r>
        <w:rPr>
          <w:rFonts w:hint="eastAsia" w:ascii="仿宋_GB2312" w:hAnsi="仿宋" w:eastAsia="仿宋_GB2312" w:cs="仿宋"/>
          <w:color w:val="auto"/>
          <w:sz w:val="32"/>
          <w:szCs w:val="32"/>
          <w:highlight w:val="none"/>
          <w:u w:val="none"/>
          <w:lang w:eastAsia="zh-CN"/>
        </w:rPr>
        <w:t>松材线虫病、互花米草等林业</w:t>
      </w:r>
      <w:r>
        <w:rPr>
          <w:rFonts w:hint="eastAsia" w:ascii="仿宋_GB2312" w:hAnsi="仿宋" w:eastAsia="仿宋_GB2312" w:cs="仿宋"/>
          <w:bCs/>
          <w:color w:val="auto"/>
          <w:sz w:val="32"/>
          <w:szCs w:val="32"/>
          <w:highlight w:val="none"/>
          <w:u w:val="none"/>
          <w:lang w:eastAsia="zh-CN"/>
        </w:rPr>
        <w:t>有害生物预防、监测、检疫、除治等相关支出的补助。</w:t>
      </w:r>
    </w:p>
    <w:p>
      <w:pPr>
        <w:keepNext w:val="0"/>
        <w:keepLines w:val="0"/>
        <w:pageBreakBefore w:val="0"/>
        <w:widowControl w:val="0"/>
        <w:numPr>
          <w:ilvl w:val="0"/>
          <w:numId w:val="0"/>
        </w:numPr>
        <w:tabs>
          <w:tab w:val="center" w:pos="4422"/>
        </w:tabs>
        <w:kinsoku/>
        <w:wordWrap/>
        <w:overflowPunct/>
        <w:topLinePunct w:val="0"/>
        <w:autoSpaceDE/>
        <w:autoSpaceDN/>
        <w:bidi w:val="0"/>
        <w:spacing w:line="600" w:lineRule="exact"/>
        <w:ind w:firstLine="622" w:firstLineChars="200"/>
        <w:textAlignment w:val="top"/>
        <w:outlineLvl w:val="9"/>
        <w:rPr>
          <w:rFonts w:hint="eastAsia" w:ascii="仿宋_GB2312" w:hAnsi="仿宋" w:eastAsia="仿宋_GB2312" w:cs="仿宋"/>
          <w:color w:val="auto"/>
          <w:sz w:val="32"/>
          <w:szCs w:val="32"/>
          <w:highlight w:val="none"/>
          <w:u w:val="none"/>
          <w:lang w:eastAsia="zh-CN"/>
        </w:rPr>
      </w:pPr>
      <w:r>
        <w:rPr>
          <w:rFonts w:hint="eastAsia" w:ascii="仿宋_GB2312" w:hAnsi="仿宋" w:eastAsia="仿宋_GB2312" w:cs="仿宋"/>
          <w:bCs/>
          <w:color w:val="auto"/>
          <w:sz w:val="32"/>
          <w:szCs w:val="32"/>
          <w:highlight w:val="none"/>
          <w:u w:val="none"/>
        </w:rPr>
        <w:t>林业生产救灾补助指用于</w:t>
      </w:r>
      <w:r>
        <w:rPr>
          <w:rFonts w:hint="eastAsia" w:ascii="仿宋_GB2312" w:hAnsi="仿宋" w:eastAsia="仿宋_GB2312" w:cs="仿宋"/>
          <w:color w:val="auto"/>
          <w:sz w:val="32"/>
          <w:szCs w:val="32"/>
          <w:highlight w:val="none"/>
          <w:u w:val="none"/>
        </w:rPr>
        <w:t>支持林业系统遭受自然灾害之后开展林业生产恢复等相关支出的补助。</w:t>
      </w:r>
    </w:p>
    <w:p>
      <w:pPr>
        <w:keepNext w:val="0"/>
        <w:keepLines w:val="0"/>
        <w:pageBreakBefore w:val="0"/>
        <w:widowControl w:val="0"/>
        <w:numPr>
          <w:ilvl w:val="0"/>
          <w:numId w:val="0"/>
        </w:numPr>
        <w:tabs>
          <w:tab w:val="center" w:pos="4422"/>
        </w:tabs>
        <w:kinsoku/>
        <w:wordWrap/>
        <w:overflowPunct/>
        <w:topLinePunct w:val="0"/>
        <w:autoSpaceDE/>
        <w:autoSpaceDN/>
        <w:bidi w:val="0"/>
        <w:spacing w:line="600" w:lineRule="exact"/>
        <w:ind w:firstLine="622" w:firstLineChars="200"/>
        <w:textAlignment w:val="top"/>
        <w:outlineLvl w:val="9"/>
        <w:rPr>
          <w:rFonts w:hint="eastAsia" w:ascii="仿宋_GB2312" w:hAnsi="仿宋" w:eastAsia="仿宋_GB2312" w:cs="仿宋"/>
          <w:b w:val="0"/>
          <w:bCs w:val="0"/>
          <w:color w:val="auto"/>
          <w:sz w:val="32"/>
          <w:szCs w:val="32"/>
          <w:highlight w:val="none"/>
          <w:u w:val="none"/>
          <w:lang w:eastAsia="zh-CN"/>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cs="仿宋"/>
          <w:color w:val="auto"/>
          <w:sz w:val="32"/>
          <w:szCs w:val="32"/>
          <w:highlight w:val="none"/>
          <w:u w:val="none"/>
          <w:lang w:eastAsia="zh-CN"/>
        </w:rPr>
        <w:t>林草湿监测</w:t>
      </w:r>
      <w:r>
        <w:rPr>
          <w:rFonts w:hint="eastAsia" w:ascii="仿宋_GB2312" w:hAnsi="仿宋" w:eastAsia="仿宋_GB2312" w:cs="仿宋"/>
          <w:color w:val="auto"/>
          <w:sz w:val="32"/>
          <w:szCs w:val="32"/>
          <w:highlight w:val="none"/>
          <w:u w:val="none"/>
        </w:rPr>
        <w:t>补助指</w:t>
      </w:r>
      <w:r>
        <w:rPr>
          <w:rFonts w:hint="eastAsia" w:ascii="仿宋_GB2312" w:hAnsi="仿宋" w:eastAsia="仿宋_GB2312" w:cs="仿宋"/>
          <w:color w:val="auto"/>
          <w:sz w:val="32"/>
          <w:szCs w:val="32"/>
          <w:highlight w:val="none"/>
          <w:u w:val="none"/>
          <w:lang w:eastAsia="zh-CN"/>
        </w:rPr>
        <w:t>用于开展综合性的林草湿普查、样地调查、图斑监测，生态定位监测等相关支出的补助。</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left="10" w:leftChars="0" w:firstLine="587" w:firstLineChars="189"/>
        <w:jc w:val="left"/>
        <w:textAlignment w:val="auto"/>
        <w:outlineLvl w:val="9"/>
        <w:rPr>
          <w:rFonts w:hint="eastAsia" w:ascii="仿宋_GB2312" w:hAnsi="仿宋" w:eastAsia="仿宋_GB2312" w:cs="仿宋"/>
          <w:color w:val="auto"/>
          <w:sz w:val="32"/>
          <w:szCs w:val="32"/>
          <w:highlight w:val="none"/>
          <w:u w:val="none"/>
          <w:lang w:eastAsia="zh-CN"/>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十一</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cs="Times New Roman"/>
          <w:b w:val="0"/>
          <w:bCs/>
          <w:color w:val="auto"/>
          <w:sz w:val="32"/>
          <w:szCs w:val="32"/>
          <w:highlight w:val="none"/>
          <w:u w:val="none"/>
          <w:lang w:val="en-US" w:eastAsia="zh-CN"/>
        </w:rPr>
        <w:t>重点生态区位商品林赎买等改革补助指用于对列入重点</w:t>
      </w:r>
      <w:r>
        <w:rPr>
          <w:rFonts w:hint="eastAsia" w:ascii="仿宋_GB2312" w:hAnsi="仿宋" w:eastAsia="仿宋_GB2312" w:cs="Times New Roman"/>
          <w:b w:val="0"/>
          <w:bCs/>
          <w:color w:val="auto"/>
          <w:sz w:val="32"/>
          <w:szCs w:val="32"/>
          <w:highlight w:val="none"/>
          <w:u w:val="none"/>
        </w:rPr>
        <w:t>生态区位商品林赎买等改革的市、县（区）开展重点生态区位商品林赎买、租赁、改造提升等改革的补助。</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600" w:lineRule="exact"/>
        <w:ind w:firstLine="622" w:firstLineChars="200"/>
        <w:textAlignment w:val="top"/>
        <w:outlineLvl w:val="9"/>
        <w:rPr>
          <w:rFonts w:hint="eastAsia" w:ascii="仿宋_GB2312" w:hAnsi="仿宋" w:eastAsia="仿宋_GB2312" w:cs="仿宋"/>
          <w:color w:val="auto"/>
          <w:sz w:val="32"/>
          <w:szCs w:val="32"/>
          <w:highlight w:val="none"/>
          <w:u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十二</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b w:val="0"/>
          <w:bCs w:val="0"/>
          <w:color w:val="auto"/>
          <w:spacing w:val="0"/>
          <w:sz w:val="32"/>
          <w:szCs w:val="32"/>
          <w:highlight w:val="none"/>
          <w:u w:val="none"/>
          <w:lang w:val="en-US" w:eastAsia="zh-CN"/>
        </w:rPr>
        <w:t>森林步道建设补助指用于在规划范围内的森林步道</w:t>
      </w:r>
      <w:r>
        <w:rPr>
          <w:rFonts w:hint="eastAsia" w:ascii="仿宋_GB2312" w:hAnsi="仿宋" w:eastAsia="仿宋_GB2312" w:cs="Times New Roman"/>
          <w:color w:val="auto"/>
          <w:spacing w:val="0"/>
          <w:sz w:val="32"/>
          <w:szCs w:val="32"/>
          <w:highlight w:val="none"/>
          <w:u w:val="none"/>
          <w:shd w:val="clear" w:color="auto" w:fill="auto"/>
          <w:lang w:eastAsia="zh-CN"/>
        </w:rPr>
        <w:t>建设支出的补助。</w:t>
      </w:r>
    </w:p>
    <w:p>
      <w:pPr>
        <w:keepNext w:val="0"/>
        <w:keepLines w:val="0"/>
        <w:pageBreakBefore w:val="0"/>
        <w:widowControl w:val="0"/>
        <w:numPr>
          <w:ilvl w:val="0"/>
          <w:numId w:val="0"/>
        </w:numPr>
        <w:tabs>
          <w:tab w:val="center" w:pos="4422"/>
        </w:tabs>
        <w:kinsoku/>
        <w:wordWrap/>
        <w:overflowPunct/>
        <w:topLinePunct w:val="0"/>
        <w:autoSpaceDE/>
        <w:autoSpaceDN/>
        <w:bidi w:val="0"/>
        <w:spacing w:line="600" w:lineRule="exact"/>
        <w:ind w:firstLine="633"/>
        <w:textAlignment w:val="top"/>
        <w:outlineLvl w:val="9"/>
        <w:rPr>
          <w:rFonts w:hint="eastAsia" w:ascii="仿宋_GB2312" w:hAnsi="仿宋" w:eastAsia="仿宋_GB2312"/>
          <w:color w:val="auto"/>
          <w:sz w:val="32"/>
          <w:szCs w:val="32"/>
          <w:highlight w:val="none"/>
          <w:u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十三</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color w:val="auto"/>
          <w:sz w:val="32"/>
          <w:szCs w:val="32"/>
          <w:highlight w:val="none"/>
          <w:u w:val="none"/>
        </w:rPr>
        <w:t>国有林场能力建设补助指用于国有林场管护站点、林区道路、监控监测等建设方面支出的补助。</w:t>
      </w:r>
    </w:p>
    <w:p>
      <w:pPr>
        <w:keepNext w:val="0"/>
        <w:keepLines w:val="0"/>
        <w:pageBreakBefore w:val="0"/>
        <w:widowControl w:val="0"/>
        <w:numPr>
          <w:ilvl w:val="0"/>
          <w:numId w:val="0"/>
        </w:numPr>
        <w:tabs>
          <w:tab w:val="center" w:pos="4422"/>
        </w:tabs>
        <w:kinsoku/>
        <w:wordWrap/>
        <w:overflowPunct/>
        <w:topLinePunct w:val="0"/>
        <w:autoSpaceDE/>
        <w:autoSpaceDN/>
        <w:bidi w:val="0"/>
        <w:spacing w:line="600" w:lineRule="exact"/>
        <w:ind w:firstLine="622" w:firstLineChars="200"/>
        <w:textAlignment w:val="top"/>
        <w:outlineLvl w:val="9"/>
        <w:rPr>
          <w:rFonts w:hint="default" w:ascii="仿宋_GB2312" w:hAnsi="仿宋" w:eastAsia="仿宋_GB2312" w:cs="Times New Roman"/>
          <w:color w:val="auto"/>
          <w:sz w:val="32"/>
          <w:szCs w:val="32"/>
          <w:highlight w:val="none"/>
          <w:u w:val="none"/>
          <w:lang w:val="en-US"/>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十四</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cs="Times New Roman"/>
          <w:color w:val="auto"/>
          <w:sz w:val="32"/>
          <w:szCs w:val="32"/>
          <w:highlight w:val="none"/>
          <w:u w:val="none"/>
          <w:lang w:eastAsia="zh-CN"/>
        </w:rPr>
        <w:t>林长制考核奖励补助指</w:t>
      </w:r>
      <w:r>
        <w:rPr>
          <w:rFonts w:hint="eastAsia" w:ascii="仿宋_GB2312" w:hAnsi="仿宋" w:eastAsia="仿宋_GB2312" w:cs="Times New Roman"/>
          <w:strike w:val="0"/>
          <w:dstrike w:val="0"/>
          <w:color w:val="auto"/>
          <w:sz w:val="32"/>
          <w:szCs w:val="32"/>
          <w:highlight w:val="none"/>
          <w:u w:val="none"/>
          <w:lang w:eastAsia="zh-CN"/>
        </w:rPr>
        <w:t>用于</w:t>
      </w:r>
      <w:r>
        <w:rPr>
          <w:rFonts w:hint="eastAsia" w:ascii="仿宋_GB2312" w:hAnsi="仿宋" w:eastAsia="仿宋_GB2312" w:cs="Times New Roman"/>
          <w:strike w:val="0"/>
          <w:dstrike w:val="0"/>
          <w:color w:val="auto"/>
          <w:sz w:val="32"/>
          <w:szCs w:val="32"/>
          <w:highlight w:val="none"/>
          <w:u w:val="none"/>
          <w:lang w:val="en-US" w:eastAsia="zh-CN"/>
        </w:rPr>
        <w:t>对</w:t>
      </w:r>
      <w:r>
        <w:rPr>
          <w:rFonts w:hint="eastAsia" w:ascii="仿宋_GB2312" w:hAnsi="仿宋" w:eastAsia="仿宋_GB2312" w:cs="Times New Roman"/>
          <w:color w:val="auto"/>
          <w:sz w:val="32"/>
          <w:szCs w:val="32"/>
          <w:highlight w:val="none"/>
          <w:u w:val="none"/>
          <w:lang w:val="en-US" w:eastAsia="zh-CN"/>
        </w:rPr>
        <w:t>全面推行林长制工作成效明显的设区市或县（市、区）的一次性激励。</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600" w:lineRule="exact"/>
        <w:ind w:firstLine="622" w:firstLineChars="200"/>
        <w:textAlignment w:val="top"/>
        <w:outlineLvl w:val="9"/>
        <w:rPr>
          <w:rFonts w:hint="eastAsia" w:ascii="仿宋_GB2312" w:hAnsi="仿宋" w:eastAsia="仿宋_GB2312" w:cs="仿宋"/>
          <w:color w:val="auto"/>
          <w:sz w:val="32"/>
          <w:szCs w:val="32"/>
          <w:highlight w:val="none"/>
          <w:u w:val="none"/>
          <w:lang w:eastAsia="zh-CN"/>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十五</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国有林场事业经费补助指用于保障省属国有林场单位正常运转、职工基本生活及社会保障等补助。</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600" w:lineRule="exact"/>
        <w:ind w:firstLine="622" w:firstLineChars="200"/>
        <w:textAlignment w:val="top"/>
        <w:outlineLvl w:val="9"/>
        <w:rPr>
          <w:rFonts w:hint="eastAsia" w:ascii="仿宋_GB2312" w:hAnsi="仿宋" w:eastAsia="仿宋_GB2312"/>
          <w:color w:val="auto"/>
          <w:sz w:val="32"/>
          <w:szCs w:val="32"/>
          <w:highlight w:val="none"/>
          <w:u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十六</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color w:val="auto"/>
          <w:sz w:val="32"/>
          <w:szCs w:val="32"/>
          <w:highlight w:val="none"/>
          <w:u w:val="none"/>
          <w:lang w:eastAsia="zh-CN"/>
        </w:rPr>
        <w:t>林业资源管理基层</w:t>
      </w:r>
      <w:r>
        <w:rPr>
          <w:rFonts w:hint="eastAsia" w:ascii="仿宋_GB2312" w:hAnsi="仿宋" w:eastAsia="仿宋_GB2312" w:cs="仿宋"/>
          <w:color w:val="auto"/>
          <w:sz w:val="32"/>
          <w:szCs w:val="32"/>
          <w:highlight w:val="none"/>
          <w:u w:val="none"/>
          <w:lang w:val="en-US" w:eastAsia="zh-CN"/>
        </w:rPr>
        <w:t>试点补助指用于林业</w:t>
      </w:r>
      <w:r>
        <w:rPr>
          <w:rFonts w:hint="eastAsia" w:ascii="仿宋_GB2312" w:hAnsi="仿宋" w:eastAsia="仿宋_GB2312" w:cs="仿宋"/>
          <w:color w:val="auto"/>
          <w:sz w:val="32"/>
          <w:szCs w:val="32"/>
          <w:highlight w:val="none"/>
          <w:u w:val="none"/>
        </w:rPr>
        <w:t>站能力建设</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lang w:val="en-US" w:eastAsia="zh-CN"/>
        </w:rPr>
        <w:t>林业执法改革试点地区开展林业</w:t>
      </w:r>
      <w:r>
        <w:rPr>
          <w:rFonts w:hint="eastAsia" w:ascii="仿宋_GB2312" w:hAnsi="仿宋" w:eastAsia="仿宋_GB2312" w:cs="仿宋"/>
          <w:color w:val="auto"/>
          <w:sz w:val="32"/>
          <w:szCs w:val="32"/>
          <w:highlight w:val="none"/>
          <w:u w:val="none"/>
        </w:rPr>
        <w:t>站标准化建设</w:t>
      </w:r>
      <w:r>
        <w:rPr>
          <w:rFonts w:hint="eastAsia" w:ascii="仿宋_GB2312" w:hAnsi="仿宋" w:eastAsia="仿宋_GB2312" w:cs="仿宋"/>
          <w:color w:val="auto"/>
          <w:sz w:val="32"/>
          <w:szCs w:val="32"/>
          <w:highlight w:val="none"/>
          <w:u w:val="none"/>
          <w:lang w:eastAsia="zh-CN"/>
        </w:rPr>
        <w:t>、林业执法机制改革及规范化建设</w:t>
      </w:r>
      <w:r>
        <w:rPr>
          <w:rFonts w:hint="eastAsia" w:ascii="仿宋_GB2312" w:hAnsi="仿宋" w:eastAsia="仿宋_GB2312" w:cs="仿宋"/>
          <w:color w:val="auto"/>
          <w:sz w:val="32"/>
          <w:szCs w:val="32"/>
          <w:highlight w:val="none"/>
          <w:u w:val="none"/>
          <w:lang w:val="en-US" w:eastAsia="zh-CN"/>
        </w:rPr>
        <w:t>等方面的补助。</w:t>
      </w:r>
    </w:p>
    <w:p>
      <w:pPr>
        <w:keepNext w:val="0"/>
        <w:keepLines w:val="0"/>
        <w:pageBreakBefore w:val="0"/>
        <w:widowControl w:val="0"/>
        <w:kinsoku/>
        <w:wordWrap/>
        <w:overflowPunct/>
        <w:topLinePunct w:val="0"/>
        <w:autoSpaceDE/>
        <w:autoSpaceDN/>
        <w:bidi w:val="0"/>
        <w:adjustRightInd/>
        <w:snapToGrid w:val="0"/>
        <w:spacing w:before="290" w:beforeLines="100" w:after="294" w:afterLines="100" w:line="600" w:lineRule="exact"/>
        <w:jc w:val="center"/>
        <w:textAlignment w:val="auto"/>
        <w:outlineLvl w:val="9"/>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rPr>
        <w:t>第</w:t>
      </w:r>
      <w:r>
        <w:rPr>
          <w:rFonts w:hint="eastAsia" w:ascii="黑体" w:hAnsi="黑体" w:eastAsia="黑体" w:cs="黑体"/>
          <w:b w:val="0"/>
          <w:bCs/>
          <w:color w:val="auto"/>
          <w:sz w:val="32"/>
          <w:szCs w:val="32"/>
          <w:highlight w:val="none"/>
          <w:u w:val="none"/>
          <w:lang w:val="en-US" w:eastAsia="zh-CN"/>
        </w:rPr>
        <w:t>三</w:t>
      </w:r>
      <w:r>
        <w:rPr>
          <w:rFonts w:hint="eastAsia" w:ascii="黑体" w:hAnsi="黑体" w:eastAsia="黑体" w:cs="黑体"/>
          <w:b w:val="0"/>
          <w:bCs/>
          <w:color w:val="auto"/>
          <w:sz w:val="32"/>
          <w:szCs w:val="32"/>
          <w:highlight w:val="none"/>
          <w:u w:val="none"/>
        </w:rPr>
        <w:t>章  资金分配及预算下达</w:t>
      </w:r>
    </w:p>
    <w:p>
      <w:pPr>
        <w:keepNext w:val="0"/>
        <w:keepLines w:val="0"/>
        <w:pageBreakBefore w:val="0"/>
        <w:widowControl w:val="0"/>
        <w:kinsoku/>
        <w:wordWrap/>
        <w:overflowPunct/>
        <w:topLinePunct w:val="0"/>
        <w:autoSpaceDE/>
        <w:autoSpaceDN/>
        <w:bidi w:val="0"/>
        <w:spacing w:line="600" w:lineRule="exact"/>
        <w:ind w:firstLine="640"/>
        <w:outlineLvl w:val="9"/>
        <w:rPr>
          <w:rFonts w:hint="eastAsia" w:ascii="仿宋_GB2312" w:hAnsi="仿宋" w:eastAsia="仿宋_GB2312" w:cs="宋体"/>
          <w:color w:val="auto"/>
          <w:sz w:val="32"/>
          <w:szCs w:val="32"/>
          <w:highlight w:val="none"/>
          <w:u w:val="none"/>
          <w:lang w:val="en-US" w:eastAsia="zh-CN"/>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十七</w:t>
      </w:r>
      <w:r>
        <w:rPr>
          <w:rFonts w:hint="eastAsia" w:ascii="仿宋_GB2312" w:hAnsi="仿宋" w:eastAsia="仿宋_GB2312"/>
          <w:b/>
          <w:color w:val="auto"/>
          <w:sz w:val="32"/>
          <w:szCs w:val="32"/>
          <w:highlight w:val="none"/>
          <w:u w:val="none"/>
        </w:rPr>
        <w:t>条</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b/>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专项资金采取项目法、因素法分配</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22" w:firstLineChars="200"/>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color w:val="auto"/>
          <w:sz w:val="32"/>
          <w:szCs w:val="32"/>
          <w:highlight w:val="none"/>
          <w:u w:val="none"/>
          <w:lang w:eastAsia="zh-CN"/>
        </w:rPr>
        <w:t>用于湿地保护修复、</w:t>
      </w:r>
      <w:r>
        <w:rPr>
          <w:rFonts w:hint="eastAsia" w:ascii="仿宋_GB2312" w:hAnsi="仿宋" w:eastAsia="仿宋_GB2312"/>
          <w:color w:val="auto"/>
          <w:sz w:val="32"/>
          <w:szCs w:val="32"/>
          <w:highlight w:val="none"/>
          <w:u w:val="none"/>
        </w:rPr>
        <w:t>森林步道建设</w:t>
      </w:r>
      <w:r>
        <w:rPr>
          <w:rFonts w:hint="eastAsia" w:ascii="仿宋_GB2312" w:hAnsi="仿宋" w:eastAsia="仿宋_GB2312" w:cs="宋体"/>
          <w:color w:val="auto"/>
          <w:sz w:val="32"/>
          <w:szCs w:val="32"/>
          <w:highlight w:val="none"/>
          <w:u w:val="none"/>
          <w:lang w:eastAsia="zh-CN"/>
        </w:rPr>
        <w:t>等补助资金</w:t>
      </w:r>
      <w:r>
        <w:rPr>
          <w:rFonts w:hint="eastAsia" w:ascii="仿宋_GB2312" w:hAnsi="仿宋" w:eastAsia="仿宋_GB2312"/>
          <w:color w:val="auto"/>
          <w:sz w:val="32"/>
          <w:szCs w:val="32"/>
          <w:highlight w:val="none"/>
          <w:u w:val="none"/>
        </w:rPr>
        <w:t>采取项目法</w:t>
      </w:r>
      <w:r>
        <w:rPr>
          <w:rFonts w:hint="eastAsia" w:ascii="仿宋_GB2312" w:hAnsi="仿宋" w:eastAsia="仿宋_GB2312"/>
          <w:color w:val="auto"/>
          <w:sz w:val="32"/>
          <w:szCs w:val="32"/>
          <w:highlight w:val="none"/>
          <w:u w:val="none"/>
          <w:lang w:eastAsia="zh-CN"/>
        </w:rPr>
        <w:t>分配，</w:t>
      </w:r>
      <w:r>
        <w:rPr>
          <w:rFonts w:hint="eastAsia" w:ascii="仿宋_GB2312" w:hAnsi="仿宋" w:eastAsia="仿宋_GB2312"/>
          <w:color w:val="auto"/>
          <w:sz w:val="32"/>
          <w:szCs w:val="32"/>
          <w:highlight w:val="none"/>
          <w:u w:val="none"/>
        </w:rPr>
        <w:t>由</w:t>
      </w:r>
      <w:r>
        <w:rPr>
          <w:rFonts w:hint="eastAsia" w:ascii="仿宋_GB2312" w:hAnsi="仿宋" w:eastAsia="仿宋_GB2312" w:cs="宋体"/>
          <w:color w:val="auto"/>
          <w:sz w:val="32"/>
          <w:szCs w:val="32"/>
          <w:highlight w:val="none"/>
          <w:u w:val="none"/>
        </w:rPr>
        <w:t>省林业</w:t>
      </w:r>
      <w:r>
        <w:rPr>
          <w:rFonts w:hint="eastAsia" w:ascii="仿宋_GB2312" w:hAnsi="仿宋" w:eastAsia="仿宋_GB2312" w:cs="宋体"/>
          <w:color w:val="auto"/>
          <w:sz w:val="32"/>
          <w:szCs w:val="32"/>
          <w:highlight w:val="none"/>
          <w:u w:val="none"/>
          <w:lang w:eastAsia="zh-CN"/>
        </w:rPr>
        <w:t>局</w:t>
      </w:r>
      <w:r>
        <w:rPr>
          <w:rFonts w:hint="eastAsia" w:ascii="仿宋_GB2312" w:hAnsi="仿宋" w:eastAsia="仿宋_GB2312" w:cs="宋体"/>
          <w:color w:val="auto"/>
          <w:sz w:val="32"/>
          <w:szCs w:val="32"/>
          <w:highlight w:val="none"/>
          <w:u w:val="none"/>
        </w:rPr>
        <w:t>、财政厅根据本办法规定，结合年度工作重点及预算安排等情况，联合制定发布</w:t>
      </w:r>
      <w:r>
        <w:rPr>
          <w:rFonts w:hint="eastAsia" w:ascii="仿宋_GB2312" w:hAnsi="仿宋" w:eastAsia="仿宋_GB2312"/>
          <w:color w:val="auto"/>
          <w:sz w:val="32"/>
          <w:szCs w:val="32"/>
          <w:highlight w:val="none"/>
          <w:u w:val="none"/>
        </w:rPr>
        <w:t>相关</w:t>
      </w:r>
      <w:r>
        <w:rPr>
          <w:rFonts w:hint="eastAsia" w:ascii="仿宋_GB2312" w:hAnsi="仿宋" w:eastAsia="仿宋_GB2312" w:cs="宋体"/>
          <w:color w:val="auto"/>
          <w:sz w:val="32"/>
          <w:szCs w:val="32"/>
          <w:highlight w:val="none"/>
          <w:u w:val="none"/>
        </w:rPr>
        <w:t>《申报指南》，明确资金支持重点、方向及有关具体要求，并按照信息公开的有关规定公开。</w:t>
      </w:r>
      <w:r>
        <w:rPr>
          <w:rFonts w:hint="eastAsia" w:ascii="仿宋_GB2312" w:hAnsi="仿宋" w:eastAsia="仿宋_GB2312" w:cs="宋体"/>
          <w:color w:val="auto"/>
          <w:sz w:val="32"/>
          <w:szCs w:val="32"/>
          <w:highlight w:val="none"/>
          <w:u w:val="none"/>
          <w:lang w:eastAsia="zh-CN"/>
        </w:rPr>
        <w:t>林长制考核奖励采取定额补助，由获得奖励的市、县（区）统筹用于林业有关支出。</w:t>
      </w:r>
    </w:p>
    <w:p>
      <w:pPr>
        <w:keepNext w:val="0"/>
        <w:keepLines w:val="0"/>
        <w:pageBreakBefore w:val="0"/>
        <w:widowControl w:val="0"/>
        <w:kinsoku/>
        <w:wordWrap/>
        <w:overflowPunct/>
        <w:topLinePunct w:val="0"/>
        <w:autoSpaceDE/>
        <w:autoSpaceDN/>
        <w:bidi w:val="0"/>
        <w:spacing w:line="600" w:lineRule="exact"/>
        <w:ind w:firstLine="640"/>
        <w:outlineLvl w:val="9"/>
        <w:rPr>
          <w:rFonts w:hint="eastAsia" w:ascii="仿宋_GB2312" w:hAnsi="仿宋" w:eastAsia="仿宋_GB2312" w:cs="Times New Roman"/>
          <w:color w:val="auto"/>
          <w:sz w:val="32"/>
          <w:szCs w:val="32"/>
          <w:highlight w:val="none"/>
          <w:u w:val="none"/>
          <w:lang w:eastAsia="zh-CN"/>
        </w:rPr>
      </w:pPr>
      <w:r>
        <w:rPr>
          <w:rFonts w:hint="eastAsia" w:ascii="仿宋_GB2312" w:hAnsi="仿宋" w:eastAsia="仿宋_GB2312"/>
          <w:color w:val="auto"/>
          <w:sz w:val="32"/>
          <w:szCs w:val="32"/>
          <w:highlight w:val="none"/>
          <w:u w:val="none"/>
          <w:lang w:eastAsia="zh-CN"/>
        </w:rPr>
        <w:t>其余用途补助资金</w:t>
      </w:r>
      <w:r>
        <w:rPr>
          <w:rFonts w:hint="eastAsia" w:ascii="仿宋_GB2312" w:hAnsi="仿宋" w:eastAsia="仿宋_GB2312" w:cs="仿宋"/>
          <w:bCs/>
          <w:color w:val="auto"/>
          <w:sz w:val="32"/>
          <w:szCs w:val="32"/>
          <w:highlight w:val="none"/>
          <w:u w:val="none"/>
          <w:lang w:eastAsia="zh-CN"/>
        </w:rPr>
        <w:t>（省本级部分按照项目任务确定补助金额</w:t>
      </w:r>
      <w:r>
        <w:rPr>
          <w:rFonts w:hint="eastAsia" w:ascii="仿宋_GB2312" w:hAnsi="仿宋" w:eastAsia="仿宋_GB2312" w:cs="仿宋"/>
          <w:bCs/>
          <w:color w:val="auto"/>
          <w:sz w:val="32"/>
          <w:szCs w:val="32"/>
          <w:highlight w:val="none"/>
          <w:u w:val="none"/>
          <w:lang w:val="en-US" w:eastAsia="zh-CN"/>
        </w:rPr>
        <w:t>,林业生产救灾视受灾情况分配</w:t>
      </w:r>
      <w:r>
        <w:rPr>
          <w:rFonts w:hint="eastAsia" w:ascii="仿宋_GB2312" w:hAnsi="仿宋" w:eastAsia="仿宋_GB2312" w:cs="仿宋"/>
          <w:bCs/>
          <w:color w:val="auto"/>
          <w:sz w:val="32"/>
          <w:szCs w:val="32"/>
          <w:highlight w:val="none"/>
          <w:u w:val="none"/>
          <w:lang w:eastAsia="zh-CN"/>
        </w:rPr>
        <w:t>）</w:t>
      </w:r>
      <w:r>
        <w:rPr>
          <w:rFonts w:hint="eastAsia" w:ascii="仿宋_GB2312" w:hAnsi="仿宋" w:eastAsia="仿宋_GB2312"/>
          <w:color w:val="auto"/>
          <w:sz w:val="32"/>
          <w:szCs w:val="32"/>
          <w:highlight w:val="none"/>
          <w:u w:val="none"/>
          <w:lang w:eastAsia="zh-CN"/>
        </w:rPr>
        <w:t>采取因素</w:t>
      </w:r>
      <w:r>
        <w:rPr>
          <w:rFonts w:hint="eastAsia" w:ascii="仿宋_GB2312" w:hAnsi="仿宋" w:eastAsia="仿宋_GB2312" w:cs="Times New Roman"/>
          <w:color w:val="auto"/>
          <w:sz w:val="32"/>
          <w:szCs w:val="32"/>
          <w:highlight w:val="none"/>
          <w:u w:val="none"/>
          <w:lang w:eastAsia="zh-CN"/>
        </w:rPr>
        <w:t>法分配，按照工作任务、绩效、政策因素分配，权重分别为</w:t>
      </w:r>
      <w:r>
        <w:rPr>
          <w:rFonts w:hint="eastAsia" w:ascii="仿宋_GB2312" w:hAnsi="仿宋" w:eastAsia="仿宋_GB2312" w:cs="Times New Roman"/>
          <w:color w:val="auto"/>
          <w:sz w:val="32"/>
          <w:szCs w:val="32"/>
          <w:highlight w:val="none"/>
          <w:u w:val="none"/>
          <w:lang w:val="en-US" w:eastAsia="zh-CN"/>
        </w:rPr>
        <w:t>60%、30%、10%，其中绩效因素以预算执行情况和绩效评价结果为依据分配，权重分别为15%，</w:t>
      </w:r>
      <w:r>
        <w:rPr>
          <w:rFonts w:hint="eastAsia" w:ascii="仿宋_GB2312" w:hAnsi="仿宋" w:eastAsia="仿宋_GB2312" w:cs="Times New Roman"/>
          <w:color w:val="auto"/>
          <w:sz w:val="32"/>
          <w:szCs w:val="32"/>
          <w:highlight w:val="none"/>
          <w:u w:val="none"/>
          <w:lang w:eastAsia="zh-CN"/>
        </w:rPr>
        <w:t>绩效、政策因素</w:t>
      </w:r>
      <w:r>
        <w:rPr>
          <w:rFonts w:hint="eastAsia" w:ascii="仿宋_GB2312" w:hAnsi="仿宋" w:eastAsia="仿宋_GB2312" w:cs="Times New Roman"/>
          <w:color w:val="auto"/>
          <w:sz w:val="32"/>
          <w:szCs w:val="32"/>
          <w:highlight w:val="none"/>
          <w:u w:val="none"/>
          <w:lang w:val="en-US" w:eastAsia="zh-CN"/>
        </w:rPr>
        <w:t>可结合工作任务适当进行调节</w:t>
      </w:r>
      <w:r>
        <w:rPr>
          <w:rFonts w:hint="eastAsia" w:ascii="仿宋_GB2312" w:hAnsi="仿宋" w:eastAsia="仿宋_GB2312" w:cs="Times New Roman"/>
          <w:color w:val="auto"/>
          <w:sz w:val="32"/>
          <w:szCs w:val="32"/>
          <w:highlight w:val="none"/>
          <w:u w:val="none"/>
          <w:lang w:eastAsia="zh-CN"/>
        </w:rPr>
        <w:t>分配</w:t>
      </w:r>
      <w:r>
        <w:rPr>
          <w:rFonts w:hint="eastAsia" w:ascii="仿宋_GB2312" w:hAnsi="仿宋"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pacing w:line="580" w:lineRule="exact"/>
        <w:ind w:firstLine="630"/>
        <w:textAlignment w:val="auto"/>
        <w:outlineLvl w:val="9"/>
        <w:rPr>
          <w:rFonts w:hint="eastAsia" w:ascii="仿宋_GB2312" w:hAnsi="仿宋" w:eastAsia="仿宋_GB2312" w:cs="Times New Roman"/>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十八</w:t>
      </w:r>
      <w:r>
        <w:rPr>
          <w:rFonts w:hint="eastAsia" w:ascii="仿宋_GB2312" w:hAnsi="仿宋" w:eastAsia="仿宋_GB2312" w:cs="宋体"/>
          <w:b/>
          <w:bCs/>
          <w:color w:val="auto"/>
          <w:sz w:val="32"/>
          <w:szCs w:val="32"/>
          <w:highlight w:val="none"/>
          <w:u w:val="none"/>
        </w:rPr>
        <w:t xml:space="preserve">条  </w:t>
      </w:r>
      <w:r>
        <w:rPr>
          <w:rFonts w:hint="eastAsia" w:ascii="仿宋_GB2312" w:hAnsi="仿宋" w:eastAsia="仿宋_GB2312" w:cs="Times New Roman"/>
          <w:color w:val="auto"/>
          <w:sz w:val="32"/>
          <w:szCs w:val="32"/>
          <w:highlight w:val="none"/>
          <w:u w:val="none"/>
        </w:rPr>
        <w:t>安排到市</w:t>
      </w:r>
      <w:r>
        <w:rPr>
          <w:rFonts w:hint="eastAsia" w:ascii="仿宋_GB2312" w:hAnsi="仿宋" w:eastAsia="仿宋_GB2312" w:cs="Times New Roman"/>
          <w:color w:val="auto"/>
          <w:sz w:val="32"/>
          <w:szCs w:val="32"/>
          <w:highlight w:val="none"/>
          <w:u w:val="none"/>
          <w:lang w:eastAsia="zh-CN"/>
        </w:rPr>
        <w:t>、</w:t>
      </w:r>
      <w:r>
        <w:rPr>
          <w:rFonts w:hint="eastAsia" w:ascii="仿宋_GB2312" w:hAnsi="仿宋" w:eastAsia="仿宋_GB2312" w:cs="Times New Roman"/>
          <w:color w:val="auto"/>
          <w:sz w:val="32"/>
          <w:szCs w:val="32"/>
          <w:highlight w:val="none"/>
          <w:u w:val="none"/>
        </w:rPr>
        <w:t>县</w:t>
      </w:r>
      <w:r>
        <w:rPr>
          <w:rFonts w:hint="eastAsia" w:ascii="仿宋_GB2312" w:hAnsi="仿宋" w:eastAsia="仿宋_GB2312" w:cs="Times New Roman"/>
          <w:color w:val="auto"/>
          <w:sz w:val="32"/>
          <w:szCs w:val="32"/>
          <w:highlight w:val="none"/>
          <w:u w:val="none"/>
          <w:lang w:eastAsia="zh-CN"/>
        </w:rPr>
        <w:t>（区）</w:t>
      </w:r>
      <w:r>
        <w:rPr>
          <w:rFonts w:hint="eastAsia" w:ascii="仿宋_GB2312" w:hAnsi="仿宋" w:eastAsia="仿宋_GB2312" w:cs="Times New Roman"/>
          <w:color w:val="auto"/>
          <w:sz w:val="32"/>
          <w:szCs w:val="32"/>
          <w:highlight w:val="none"/>
          <w:u w:val="none"/>
        </w:rPr>
        <w:t>的省级财政资金，</w:t>
      </w:r>
      <w:r>
        <w:rPr>
          <w:rFonts w:hint="eastAsia" w:ascii="仿宋_GB2312" w:hAnsi="仿宋" w:eastAsia="仿宋_GB2312" w:cs="宋体"/>
          <w:strike w:val="0"/>
          <w:dstrike w:val="0"/>
          <w:color w:val="auto"/>
          <w:sz w:val="32"/>
          <w:szCs w:val="32"/>
          <w:highlight w:val="none"/>
          <w:u w:val="none"/>
        </w:rPr>
        <w:t>省财政厅、林业局</w:t>
      </w:r>
      <w:r>
        <w:rPr>
          <w:rFonts w:hint="eastAsia" w:ascii="仿宋_GB2312" w:hAnsi="仿宋" w:eastAsia="仿宋_GB2312" w:cs="Times New Roman"/>
          <w:color w:val="auto"/>
          <w:sz w:val="32"/>
          <w:szCs w:val="32"/>
          <w:highlight w:val="none"/>
          <w:u w:val="none"/>
        </w:rPr>
        <w:t>按预计数的一定比例在规定时限内提前下达到市</w:t>
      </w:r>
      <w:r>
        <w:rPr>
          <w:rFonts w:hint="eastAsia" w:ascii="仿宋_GB2312" w:hAnsi="仿宋" w:eastAsia="仿宋_GB2312" w:cs="Times New Roman"/>
          <w:color w:val="auto"/>
          <w:sz w:val="32"/>
          <w:szCs w:val="32"/>
          <w:highlight w:val="none"/>
          <w:u w:val="none"/>
          <w:lang w:eastAsia="zh-CN"/>
        </w:rPr>
        <w:t>、</w:t>
      </w:r>
      <w:r>
        <w:rPr>
          <w:rFonts w:hint="eastAsia" w:ascii="仿宋_GB2312" w:hAnsi="仿宋" w:eastAsia="仿宋_GB2312" w:cs="Times New Roman"/>
          <w:color w:val="auto"/>
          <w:sz w:val="32"/>
          <w:szCs w:val="32"/>
          <w:highlight w:val="none"/>
          <w:u w:val="none"/>
        </w:rPr>
        <w:t>县</w:t>
      </w:r>
      <w:r>
        <w:rPr>
          <w:rFonts w:hint="eastAsia" w:ascii="仿宋_GB2312" w:hAnsi="仿宋" w:eastAsia="仿宋_GB2312" w:cs="Times New Roman"/>
          <w:color w:val="auto"/>
          <w:sz w:val="32"/>
          <w:szCs w:val="32"/>
          <w:highlight w:val="none"/>
          <w:u w:val="none"/>
          <w:lang w:eastAsia="zh-CN"/>
        </w:rPr>
        <w:t>（区）</w:t>
      </w:r>
      <w:r>
        <w:rPr>
          <w:rFonts w:hint="eastAsia" w:ascii="仿宋_GB2312" w:hAnsi="仿宋" w:eastAsia="仿宋_GB2312" w:cs="Times New Roman"/>
          <w:color w:val="auto"/>
          <w:sz w:val="32"/>
          <w:szCs w:val="32"/>
          <w:highlight w:val="none"/>
          <w:u w:val="none"/>
        </w:rPr>
        <w:t>；未提前下达的部分，在省人民代表大会批准年度预算后规定时间内下达</w:t>
      </w:r>
      <w:r>
        <w:rPr>
          <w:rFonts w:hint="eastAsia" w:ascii="仿宋_GB2312" w:hAnsi="仿宋"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pacing w:line="580" w:lineRule="exact"/>
        <w:ind w:firstLine="630"/>
        <w:textAlignment w:val="auto"/>
        <w:outlineLvl w:val="9"/>
        <w:rPr>
          <w:rFonts w:hint="eastAsia" w:ascii="仿宋_GB2312" w:hAnsi="仿宋" w:eastAsia="仿宋_GB2312" w:cs="Times New Roman"/>
          <w:color w:val="auto"/>
          <w:sz w:val="32"/>
          <w:szCs w:val="32"/>
          <w:highlight w:val="none"/>
          <w:u w:val="none"/>
        </w:rPr>
      </w:pPr>
      <w:r>
        <w:rPr>
          <w:rFonts w:hint="eastAsia" w:ascii="仿宋_GB2312" w:hAnsi="仿宋" w:eastAsia="仿宋_GB2312" w:cs="宋体"/>
          <w:color w:val="auto"/>
          <w:sz w:val="32"/>
          <w:szCs w:val="32"/>
          <w:highlight w:val="none"/>
          <w:u w:val="none"/>
        </w:rPr>
        <w:t>设区市应当自收到省财政厅、林业局预算文件后30日内分解下达预算，并抄送省财政厅、林业局。</w:t>
      </w:r>
    </w:p>
    <w:p>
      <w:pPr>
        <w:keepNext w:val="0"/>
        <w:keepLines w:val="0"/>
        <w:pageBreakBefore w:val="0"/>
        <w:widowControl w:val="0"/>
        <w:kinsoku/>
        <w:wordWrap/>
        <w:overflowPunct/>
        <w:topLinePunct w:val="0"/>
        <w:autoSpaceDE/>
        <w:autoSpaceDN/>
        <w:bidi w:val="0"/>
        <w:adjustRightInd/>
        <w:spacing w:line="580" w:lineRule="exact"/>
        <w:ind w:firstLine="630"/>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项目实施县（市、区）应当自收到预算</w:t>
      </w:r>
      <w:r>
        <w:rPr>
          <w:rFonts w:hint="eastAsia" w:ascii="仿宋_GB2312" w:hAnsi="仿宋_GB2312" w:eastAsia="仿宋_GB2312" w:cs="仿宋_GB2312"/>
          <w:color w:val="auto"/>
          <w:sz w:val="32"/>
          <w:szCs w:val="32"/>
          <w:highlight w:val="none"/>
          <w:u w:val="none"/>
          <w:lang w:eastAsia="zh-CN"/>
        </w:rPr>
        <w:t>指标</w:t>
      </w:r>
      <w:r>
        <w:rPr>
          <w:rFonts w:hint="eastAsia" w:ascii="仿宋_GB2312" w:hAnsi="仿宋_GB2312" w:eastAsia="仿宋_GB2312" w:cs="仿宋_GB2312"/>
          <w:color w:val="auto"/>
          <w:sz w:val="32"/>
          <w:szCs w:val="32"/>
          <w:highlight w:val="none"/>
          <w:u w:val="none"/>
        </w:rPr>
        <w:t>文件后</w:t>
      </w:r>
      <w:r>
        <w:rPr>
          <w:rFonts w:hint="eastAsia" w:ascii="仿宋_GB2312" w:hAnsi="仿宋_GB2312" w:eastAsia="仿宋_GB2312" w:cs="仿宋_GB2312"/>
          <w:color w:val="auto"/>
          <w:sz w:val="32"/>
          <w:szCs w:val="32"/>
          <w:highlight w:val="none"/>
          <w:u w:val="none"/>
          <w:lang w:eastAsia="zh-CN"/>
        </w:rPr>
        <w:t>及时拨付资金，在</w:t>
      </w:r>
      <w:r>
        <w:rPr>
          <w:rFonts w:hint="eastAsia" w:ascii="仿宋_GB2312" w:hAnsi="仿宋_GB2312" w:eastAsia="仿宋_GB2312" w:cs="仿宋_GB2312"/>
          <w:color w:val="auto"/>
          <w:sz w:val="32"/>
          <w:szCs w:val="32"/>
          <w:highlight w:val="none"/>
          <w:u w:val="none"/>
        </w:rPr>
        <w:t>林业主管部门批准的作业设计</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rPr>
        <w:t>实施方案规定的时间内完成</w:t>
      </w:r>
      <w:r>
        <w:rPr>
          <w:rFonts w:hint="eastAsia" w:ascii="仿宋_GB2312" w:hAnsi="仿宋_GB2312" w:eastAsia="仿宋_GB2312" w:cs="仿宋_GB2312"/>
          <w:color w:val="auto"/>
          <w:sz w:val="32"/>
          <w:szCs w:val="32"/>
          <w:highlight w:val="none"/>
          <w:u w:val="none"/>
          <w:lang w:eastAsia="zh-CN"/>
        </w:rPr>
        <w:t>项目实施</w:t>
      </w:r>
      <w:r>
        <w:rPr>
          <w:rFonts w:hint="eastAsia" w:ascii="仿宋_GB2312" w:hAnsi="仿宋_GB2312" w:eastAsia="仿宋_GB2312" w:cs="仿宋_GB2312"/>
          <w:color w:val="auto"/>
          <w:sz w:val="32"/>
          <w:szCs w:val="32"/>
          <w:highlight w:val="none"/>
          <w:u w:val="none"/>
        </w:rPr>
        <w:t>和项目验收。</w:t>
      </w:r>
    </w:p>
    <w:p>
      <w:pPr>
        <w:keepNext w:val="0"/>
        <w:keepLines w:val="0"/>
        <w:pageBreakBefore w:val="0"/>
        <w:widowControl w:val="0"/>
        <w:numPr>
          <w:ilvl w:val="0"/>
          <w:numId w:val="0"/>
        </w:numPr>
        <w:tabs>
          <w:tab w:val="center" w:pos="4422"/>
        </w:tabs>
        <w:kinsoku/>
        <w:wordWrap/>
        <w:overflowPunct/>
        <w:topLinePunct w:val="0"/>
        <w:autoSpaceDE/>
        <w:autoSpaceDN/>
        <w:bidi w:val="0"/>
        <w:spacing w:line="600" w:lineRule="exact"/>
        <w:ind w:firstLine="622" w:firstLineChars="200"/>
        <w:textAlignment w:val="top"/>
        <w:outlineLvl w:val="9"/>
        <w:rPr>
          <w:rFonts w:hint="eastAsia" w:ascii="仿宋_GB2312" w:hAnsi="华文中宋" w:eastAsia="仿宋_GB2312"/>
          <w:color w:val="auto"/>
          <w:sz w:val="32"/>
          <w:szCs w:val="32"/>
          <w:highlight w:val="none"/>
          <w:u w:val="none"/>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十九</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b/>
          <w:bCs/>
          <w:color w:val="auto"/>
          <w:sz w:val="32"/>
          <w:szCs w:val="32"/>
          <w:highlight w:val="none"/>
          <w:u w:val="none"/>
          <w:lang w:val="en-US" w:eastAsia="zh-CN"/>
        </w:rPr>
        <w:t xml:space="preserve">  </w:t>
      </w:r>
      <w:r>
        <w:rPr>
          <w:rFonts w:hint="eastAsia" w:ascii="仿宋_GB2312" w:hAnsi="仿宋" w:eastAsia="仿宋_GB2312" w:cs="宋体"/>
          <w:color w:val="auto"/>
          <w:sz w:val="32"/>
          <w:szCs w:val="32"/>
          <w:highlight w:val="none"/>
          <w:u w:val="none"/>
        </w:rPr>
        <w:t>各级财政部门应当会同同级林业主管部门按照有关法律法规和政策支持涉农资金统筹整合，避免</w:t>
      </w:r>
      <w:r>
        <w:rPr>
          <w:rFonts w:hint="eastAsia" w:ascii="仿宋_GB2312" w:hAnsi="仿宋" w:eastAsia="仿宋_GB2312" w:cs="宋体"/>
          <w:color w:val="auto"/>
          <w:sz w:val="32"/>
          <w:szCs w:val="32"/>
          <w:highlight w:val="none"/>
          <w:u w:val="none"/>
          <w:lang w:eastAsia="zh-CN"/>
        </w:rPr>
        <w:t>同级资金交叉使用、</w:t>
      </w:r>
      <w:r>
        <w:rPr>
          <w:rFonts w:hint="eastAsia" w:ascii="仿宋_GB2312" w:hAnsi="仿宋" w:eastAsia="仿宋_GB2312" w:cs="宋体"/>
          <w:color w:val="auto"/>
          <w:sz w:val="32"/>
          <w:szCs w:val="32"/>
          <w:highlight w:val="none"/>
          <w:u w:val="none"/>
        </w:rPr>
        <w:t>重复支持。</w:t>
      </w:r>
    </w:p>
    <w:p>
      <w:pPr>
        <w:keepNext w:val="0"/>
        <w:keepLines w:val="0"/>
        <w:pageBreakBefore w:val="0"/>
        <w:widowControl w:val="0"/>
        <w:kinsoku/>
        <w:wordWrap/>
        <w:overflowPunct/>
        <w:topLinePunct w:val="0"/>
        <w:autoSpaceDE/>
        <w:autoSpaceDN/>
        <w:bidi w:val="0"/>
        <w:adjustRightInd/>
        <w:snapToGrid/>
        <w:spacing w:before="290" w:beforeLines="100" w:after="290" w:afterLines="100" w:line="600" w:lineRule="exact"/>
        <w:ind w:firstLine="629"/>
        <w:jc w:val="center"/>
        <w:textAlignment w:val="auto"/>
        <w:outlineLvl w:val="9"/>
        <w:rPr>
          <w:rFonts w:hint="eastAsia" w:ascii="黑体" w:hAnsi="黑体" w:eastAsia="黑体" w:cs="黑体"/>
          <w:b w:val="0"/>
          <w:bCs/>
          <w:color w:val="auto"/>
          <w:sz w:val="32"/>
          <w:szCs w:val="32"/>
          <w:highlight w:val="none"/>
          <w:u w:val="none"/>
          <w:lang w:eastAsia="zh-CN"/>
        </w:rPr>
      </w:pPr>
      <w:r>
        <w:rPr>
          <w:rFonts w:hint="eastAsia" w:ascii="黑体" w:hAnsi="黑体" w:eastAsia="黑体" w:cs="黑体"/>
          <w:b w:val="0"/>
          <w:bCs/>
          <w:color w:val="auto"/>
          <w:sz w:val="32"/>
          <w:szCs w:val="32"/>
          <w:highlight w:val="none"/>
          <w:u w:val="none"/>
          <w:lang w:eastAsia="zh-CN"/>
        </w:rPr>
        <w:t>第四章</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预算</w:t>
      </w:r>
      <w:r>
        <w:rPr>
          <w:rFonts w:hint="eastAsia" w:ascii="黑体" w:hAnsi="黑体" w:eastAsia="黑体" w:cs="黑体"/>
          <w:b w:val="0"/>
          <w:bCs/>
          <w:color w:val="auto"/>
          <w:sz w:val="32"/>
          <w:szCs w:val="32"/>
          <w:highlight w:val="none"/>
          <w:u w:val="none"/>
          <w:lang w:eastAsia="zh-CN"/>
        </w:rPr>
        <w:t>执行</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b/>
          <w:bCs/>
          <w:color w:val="auto"/>
          <w:sz w:val="32"/>
          <w:szCs w:val="32"/>
          <w:highlight w:val="none"/>
          <w:u w:val="none"/>
          <w:lang w:val="en-US" w:eastAsia="zh-CN"/>
        </w:rPr>
        <w:t xml:space="preserve">  </w:t>
      </w:r>
      <w:r>
        <w:rPr>
          <w:rFonts w:hint="eastAsia" w:ascii="仿宋_GB2312" w:hAnsi="仿宋" w:eastAsia="仿宋_GB2312" w:cs="宋体"/>
          <w:color w:val="auto"/>
          <w:sz w:val="32"/>
          <w:szCs w:val="32"/>
          <w:highlight w:val="none"/>
          <w:u w:val="none"/>
        </w:rPr>
        <w:t>各级财政部门和林业主管部门应当加快预算执行，提高资金使用效益。结转结余的</w:t>
      </w:r>
      <w:r>
        <w:rPr>
          <w:rFonts w:hint="eastAsia" w:ascii="仿宋_GB2312" w:hAnsi="仿宋" w:eastAsia="仿宋_GB2312"/>
          <w:color w:val="auto"/>
          <w:kern w:val="0"/>
          <w:sz w:val="32"/>
          <w:szCs w:val="32"/>
          <w:highlight w:val="none"/>
          <w:u w:val="none"/>
          <w:lang w:eastAsia="zh-CN"/>
        </w:rPr>
        <w:t>专项资金</w:t>
      </w:r>
      <w:r>
        <w:rPr>
          <w:rFonts w:hint="eastAsia" w:ascii="仿宋_GB2312" w:hAnsi="仿宋" w:eastAsia="仿宋_GB2312" w:cs="宋体"/>
          <w:color w:val="auto"/>
          <w:sz w:val="32"/>
          <w:szCs w:val="32"/>
          <w:highlight w:val="none"/>
          <w:u w:val="none"/>
        </w:rPr>
        <w:t>，按照结转结余资金管理的相关规定处理</w:t>
      </w:r>
      <w:r>
        <w:rPr>
          <w:rFonts w:hint="eastAsia" w:ascii="仿宋_GB2312" w:hAnsi="仿宋" w:eastAsia="仿宋_GB2312" w:cs="宋体"/>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line="600" w:lineRule="exact"/>
        <w:ind w:firstLine="622" w:firstLineChars="200"/>
        <w:outlineLvl w:val="9"/>
        <w:rPr>
          <w:rFonts w:hint="eastAsia" w:ascii="仿宋_GB2312" w:hAnsi="仿宋" w:eastAsia="仿宋_GB2312" w:cs="宋体"/>
          <w:b/>
          <w:bCs/>
          <w:color w:val="auto"/>
          <w:sz w:val="32"/>
          <w:szCs w:val="32"/>
          <w:highlight w:val="none"/>
          <w:u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二十一</w:t>
      </w:r>
      <w:r>
        <w:rPr>
          <w:rFonts w:hint="eastAsia" w:ascii="仿宋_GB2312" w:hAnsi="仿宋" w:eastAsia="仿宋_GB2312"/>
          <w:b/>
          <w:color w:val="auto"/>
          <w:sz w:val="32"/>
          <w:szCs w:val="32"/>
          <w:highlight w:val="none"/>
          <w:u w:val="none"/>
        </w:rPr>
        <w:t>条</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olor w:val="auto"/>
          <w:kern w:val="0"/>
          <w:sz w:val="32"/>
          <w:szCs w:val="32"/>
          <w:highlight w:val="none"/>
          <w:u w:val="none"/>
          <w:lang w:eastAsia="zh-CN"/>
        </w:rPr>
        <w:t>专项资金</w:t>
      </w:r>
      <w:r>
        <w:rPr>
          <w:rFonts w:hint="eastAsia" w:ascii="仿宋_GB2312" w:hAnsi="仿宋" w:eastAsia="仿宋_GB2312" w:cs="仿宋"/>
          <w:color w:val="auto"/>
          <w:sz w:val="32"/>
          <w:szCs w:val="32"/>
          <w:highlight w:val="none"/>
          <w:u w:val="none"/>
        </w:rPr>
        <w:t>的支付按照财政国库管理制度有关规定执行。属于政府采购管理范围的，按照政府采购有关规定执行。</w:t>
      </w:r>
    </w:p>
    <w:p>
      <w:pPr>
        <w:keepNext w:val="0"/>
        <w:keepLines w:val="0"/>
        <w:pageBreakBefore w:val="0"/>
        <w:widowControl w:val="0"/>
        <w:kinsoku/>
        <w:wordWrap/>
        <w:overflowPunct/>
        <w:topLinePunct w:val="0"/>
        <w:autoSpaceDE/>
        <w:autoSpaceDN/>
        <w:bidi w:val="0"/>
        <w:spacing w:line="600" w:lineRule="exact"/>
        <w:ind w:firstLine="622" w:firstLineChars="200"/>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二十二</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各地应当积极创新</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资金使用管理机制,可采用以奖代补、先建后补等方式，</w:t>
      </w:r>
      <w:r>
        <w:rPr>
          <w:rFonts w:hint="eastAsia" w:ascii="仿宋_GB2312" w:hAnsi="仿宋" w:eastAsia="仿宋_GB2312" w:cs="宋体"/>
          <w:color w:val="auto"/>
          <w:sz w:val="32"/>
          <w:szCs w:val="32"/>
          <w:highlight w:val="none"/>
          <w:u w:val="none"/>
          <w:lang w:eastAsia="zh-CN"/>
        </w:rPr>
        <w:t>探索实施差异化的财政补助政策。</w:t>
      </w:r>
    </w:p>
    <w:p>
      <w:pPr>
        <w:keepNext w:val="0"/>
        <w:keepLines w:val="0"/>
        <w:pageBreakBefore w:val="0"/>
        <w:widowControl w:val="0"/>
        <w:kinsoku/>
        <w:wordWrap/>
        <w:overflowPunct/>
        <w:topLinePunct w:val="0"/>
        <w:autoSpaceDE/>
        <w:autoSpaceDN/>
        <w:bidi w:val="0"/>
        <w:spacing w:line="600" w:lineRule="exact"/>
        <w:ind w:firstLine="622" w:firstLineChars="200"/>
        <w:outlineLvl w:val="9"/>
        <w:rPr>
          <w:rFonts w:hint="eastAsia" w:ascii="仿宋_GB2312" w:hAnsi="仿宋" w:eastAsia="仿宋_GB2312"/>
          <w:color w:val="auto"/>
          <w:sz w:val="32"/>
          <w:szCs w:val="32"/>
          <w:highlight w:val="none"/>
          <w:u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二十三</w:t>
      </w:r>
      <w:r>
        <w:rPr>
          <w:rFonts w:hint="eastAsia" w:ascii="仿宋_GB2312" w:hAnsi="仿宋" w:eastAsia="仿宋_GB2312"/>
          <w:b/>
          <w:color w:val="auto"/>
          <w:sz w:val="32"/>
          <w:szCs w:val="32"/>
          <w:highlight w:val="none"/>
          <w:u w:val="none"/>
        </w:rPr>
        <w:t>条</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olor w:val="auto"/>
          <w:kern w:val="0"/>
          <w:sz w:val="32"/>
          <w:szCs w:val="32"/>
          <w:highlight w:val="none"/>
          <w:u w:val="none"/>
          <w:lang w:eastAsia="zh-CN"/>
        </w:rPr>
        <w:t>专项资金</w:t>
      </w:r>
      <w:r>
        <w:rPr>
          <w:rFonts w:hint="eastAsia" w:ascii="仿宋_GB2312" w:hAnsi="仿宋" w:eastAsia="仿宋_GB2312"/>
          <w:color w:val="auto"/>
          <w:sz w:val="32"/>
          <w:szCs w:val="32"/>
          <w:highlight w:val="none"/>
          <w:u w:val="none"/>
        </w:rPr>
        <w:t>使用管理应当全面落实预算信息公开有关要求。各级财政部门和林业主管部门应当按规定及时公开预算安排情况、资金管理办法、项目分配结果、</w:t>
      </w:r>
      <w:r>
        <w:rPr>
          <w:rFonts w:hint="eastAsia" w:ascii="仿宋_GB2312" w:hAnsi="仿宋" w:eastAsia="仿宋_GB2312"/>
          <w:color w:val="auto"/>
          <w:sz w:val="32"/>
          <w:szCs w:val="32"/>
          <w:highlight w:val="none"/>
          <w:u w:val="none"/>
          <w:lang w:eastAsia="zh-CN"/>
        </w:rPr>
        <w:t>绩效目标、</w:t>
      </w:r>
      <w:r>
        <w:rPr>
          <w:rFonts w:hint="eastAsia" w:ascii="仿宋_GB2312" w:hAnsi="仿宋" w:eastAsia="仿宋_GB2312"/>
          <w:color w:val="auto"/>
          <w:sz w:val="32"/>
          <w:szCs w:val="32"/>
          <w:highlight w:val="none"/>
          <w:u w:val="none"/>
        </w:rPr>
        <w:t>绩效评价等信息。</w:t>
      </w:r>
    </w:p>
    <w:p>
      <w:pPr>
        <w:keepNext w:val="0"/>
        <w:keepLines w:val="0"/>
        <w:pageBreakBefore w:val="0"/>
        <w:widowControl w:val="0"/>
        <w:kinsoku/>
        <w:wordWrap/>
        <w:overflowPunct/>
        <w:topLinePunct w:val="0"/>
        <w:autoSpaceDE/>
        <w:autoSpaceDN/>
        <w:bidi w:val="0"/>
        <w:adjustRightInd/>
        <w:snapToGrid w:val="0"/>
        <w:spacing w:before="290" w:beforeLines="100" w:after="294" w:afterLines="100" w:line="600" w:lineRule="exact"/>
        <w:jc w:val="center"/>
        <w:textAlignment w:val="auto"/>
        <w:outlineLvl w:val="9"/>
        <w:rPr>
          <w:rFonts w:hint="eastAsia" w:ascii="黑体" w:hAnsi="黑体" w:eastAsia="黑体" w:cs="黑体"/>
          <w:b w:val="0"/>
          <w:bCs/>
          <w:color w:val="auto"/>
          <w:sz w:val="32"/>
          <w:szCs w:val="32"/>
          <w:highlight w:val="none"/>
          <w:u w:val="none"/>
          <w:lang w:eastAsia="zh-CN"/>
        </w:rPr>
      </w:pPr>
      <w:r>
        <w:rPr>
          <w:rFonts w:hint="eastAsia" w:ascii="黑体" w:hAnsi="黑体" w:eastAsia="黑体" w:cs="黑体"/>
          <w:b w:val="0"/>
          <w:bCs/>
          <w:color w:val="auto"/>
          <w:sz w:val="32"/>
          <w:szCs w:val="32"/>
          <w:highlight w:val="none"/>
          <w:u w:val="none"/>
        </w:rPr>
        <w:t>第</w:t>
      </w:r>
      <w:r>
        <w:rPr>
          <w:rFonts w:hint="eastAsia" w:ascii="黑体" w:hAnsi="黑体" w:eastAsia="黑体" w:cs="黑体"/>
          <w:b w:val="0"/>
          <w:bCs/>
          <w:color w:val="auto"/>
          <w:sz w:val="32"/>
          <w:szCs w:val="32"/>
          <w:highlight w:val="none"/>
          <w:u w:val="none"/>
          <w:lang w:eastAsia="zh-CN"/>
        </w:rPr>
        <w:t>五</w:t>
      </w:r>
      <w:r>
        <w:rPr>
          <w:rFonts w:hint="eastAsia" w:ascii="黑体" w:hAnsi="黑体" w:eastAsia="黑体" w:cs="黑体"/>
          <w:b w:val="0"/>
          <w:bCs/>
          <w:color w:val="auto"/>
          <w:sz w:val="32"/>
          <w:szCs w:val="32"/>
          <w:highlight w:val="none"/>
          <w:u w:val="none"/>
        </w:rPr>
        <w:t>章</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 xml:space="preserve"> 预算绩效管理</w:t>
      </w:r>
      <w:r>
        <w:rPr>
          <w:rFonts w:hint="eastAsia" w:ascii="黑体" w:hAnsi="黑体" w:eastAsia="黑体" w:cs="黑体"/>
          <w:b w:val="0"/>
          <w:bCs/>
          <w:color w:val="auto"/>
          <w:sz w:val="32"/>
          <w:szCs w:val="32"/>
          <w:highlight w:val="none"/>
          <w:u w:val="none"/>
          <w:lang w:eastAsia="zh-CN"/>
        </w:rPr>
        <w:t>和监督</w:t>
      </w:r>
    </w:p>
    <w:p>
      <w:pPr>
        <w:keepNext w:val="0"/>
        <w:keepLines w:val="0"/>
        <w:pageBreakBefore w:val="0"/>
        <w:widowControl w:val="0"/>
        <w:tabs>
          <w:tab w:val="left" w:pos="1440"/>
        </w:tabs>
        <w:kinsoku/>
        <w:wordWrap/>
        <w:overflowPunct/>
        <w:topLinePunct w:val="0"/>
        <w:autoSpaceDE/>
        <w:autoSpaceDN/>
        <w:bidi w:val="0"/>
        <w:adjustRightInd w:val="0"/>
        <w:snapToGrid w:val="0"/>
        <w:spacing w:line="610" w:lineRule="exact"/>
        <w:ind w:firstLine="622" w:firstLineChars="200"/>
        <w:textAlignment w:val="auto"/>
        <w:outlineLvl w:val="9"/>
        <w:rPr>
          <w:rFonts w:hint="eastAsia" w:ascii="仿宋_GB2312" w:hAnsi="仿宋_GB2312" w:eastAsia="仿宋_GB2312" w:cs="仿宋_GB2312"/>
          <w:color w:val="auto"/>
          <w:spacing w:val="0"/>
          <w:kern w:val="0"/>
          <w:sz w:val="32"/>
          <w:szCs w:val="32"/>
          <w:highlight w:val="none"/>
          <w:u w:val="none"/>
          <w:lang w:val="en-US" w:eastAsia="zh-CN" w:bidi="ar"/>
        </w:rPr>
      </w:pPr>
      <w:r>
        <w:rPr>
          <w:rFonts w:hint="eastAsia" w:ascii="仿宋_GB2312" w:hAnsi="仿宋" w:eastAsia="仿宋_GB2312" w:cs="Times New Roman"/>
          <w:b/>
          <w:color w:val="auto"/>
          <w:sz w:val="32"/>
          <w:szCs w:val="32"/>
          <w:highlight w:val="none"/>
          <w:u w:val="none"/>
        </w:rPr>
        <w:t>第</w:t>
      </w:r>
      <w:r>
        <w:rPr>
          <w:rFonts w:hint="eastAsia" w:ascii="仿宋_GB2312" w:hAnsi="仿宋" w:eastAsia="仿宋_GB2312" w:cs="Times New Roman"/>
          <w:b/>
          <w:color w:val="auto"/>
          <w:sz w:val="32"/>
          <w:szCs w:val="32"/>
          <w:highlight w:val="none"/>
          <w:u w:val="none"/>
          <w:lang w:eastAsia="zh-CN"/>
        </w:rPr>
        <w:t>二十四</w:t>
      </w:r>
      <w:r>
        <w:rPr>
          <w:rFonts w:hint="eastAsia" w:ascii="仿宋_GB2312" w:hAnsi="仿宋" w:eastAsia="仿宋_GB2312" w:cs="Times New Roman"/>
          <w:b/>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专项资金应建立全过程预算绩效管理机制</w:t>
      </w:r>
      <w:r>
        <w:rPr>
          <w:rFonts w:hint="eastAsia" w:ascii="仿宋_GB2312" w:hAnsi="仿宋_GB2312" w:eastAsia="仿宋_GB2312" w:cs="仿宋_GB2312"/>
          <w:color w:val="auto"/>
          <w:spacing w:val="0"/>
          <w:kern w:val="0"/>
          <w:sz w:val="32"/>
          <w:szCs w:val="32"/>
          <w:highlight w:val="none"/>
          <w:u w:val="none"/>
          <w:lang w:val="en-US" w:eastAsia="zh-CN" w:bidi="ar"/>
        </w:rPr>
        <w:t>。</w:t>
      </w:r>
    </w:p>
    <w:p>
      <w:pPr>
        <w:keepNext w:val="0"/>
        <w:keepLines w:val="0"/>
        <w:pageBreakBefore w:val="0"/>
        <w:widowControl w:val="0"/>
        <w:tabs>
          <w:tab w:val="left" w:pos="1440"/>
        </w:tabs>
        <w:kinsoku/>
        <w:wordWrap/>
        <w:overflowPunct/>
        <w:topLinePunct w:val="0"/>
        <w:autoSpaceDE/>
        <w:autoSpaceDN/>
        <w:bidi w:val="0"/>
        <w:adjustRightInd w:val="0"/>
        <w:snapToGrid w:val="0"/>
        <w:spacing w:line="610" w:lineRule="exact"/>
        <w:ind w:firstLine="622" w:firstLineChars="200"/>
        <w:textAlignment w:val="auto"/>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二十五</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各级林业主管部门要</w:t>
      </w:r>
      <w:r>
        <w:rPr>
          <w:rFonts w:hint="eastAsia" w:ascii="仿宋_GB2312" w:hAnsi="仿宋_GB2312" w:eastAsia="仿宋_GB2312" w:cs="仿宋_GB2312"/>
          <w:color w:val="auto"/>
          <w:spacing w:val="0"/>
          <w:kern w:val="0"/>
          <w:sz w:val="32"/>
          <w:szCs w:val="32"/>
          <w:highlight w:val="none"/>
          <w:u w:val="none"/>
          <w:lang w:val="en-US" w:eastAsia="zh-CN" w:bidi="ar"/>
        </w:rPr>
        <w:t>强化绩效目标管理，合理设置项目绩效目标，并</w:t>
      </w:r>
      <w:r>
        <w:rPr>
          <w:rFonts w:hint="eastAsia" w:ascii="仿宋_GB2312" w:hAnsi="仿宋" w:eastAsia="仿宋_GB2312" w:cs="宋体"/>
          <w:color w:val="auto"/>
          <w:sz w:val="32"/>
          <w:szCs w:val="32"/>
          <w:highlight w:val="none"/>
          <w:u w:val="none"/>
        </w:rPr>
        <w:t>随资金分配文件同步分解下达</w:t>
      </w:r>
      <w:r>
        <w:rPr>
          <w:rFonts w:hint="eastAsia" w:ascii="仿宋_GB2312" w:hAnsi="仿宋" w:eastAsia="仿宋_GB2312" w:cs="宋体"/>
          <w:color w:val="auto"/>
          <w:sz w:val="32"/>
          <w:szCs w:val="32"/>
          <w:highlight w:val="none"/>
          <w:u w:val="none"/>
          <w:lang w:eastAsia="zh-CN"/>
        </w:rPr>
        <w:t>。</w:t>
      </w:r>
    </w:p>
    <w:p>
      <w:pPr>
        <w:keepNext w:val="0"/>
        <w:keepLines w:val="0"/>
        <w:pageBreakBefore w:val="0"/>
        <w:widowControl w:val="0"/>
        <w:tabs>
          <w:tab w:val="left" w:pos="1440"/>
        </w:tabs>
        <w:kinsoku/>
        <w:wordWrap/>
        <w:overflowPunct/>
        <w:topLinePunct w:val="0"/>
        <w:autoSpaceDE/>
        <w:autoSpaceDN/>
        <w:bidi w:val="0"/>
        <w:adjustRightInd w:val="0"/>
        <w:snapToGrid w:val="0"/>
        <w:spacing w:line="610" w:lineRule="exact"/>
        <w:ind w:firstLine="622" w:firstLineChars="200"/>
        <w:textAlignment w:val="auto"/>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二十六</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各级林业主管部门要加强</w:t>
      </w:r>
      <w:r>
        <w:rPr>
          <w:rFonts w:hint="eastAsia" w:ascii="仿宋_GB2312" w:hAnsi="仿宋_GB2312" w:eastAsia="仿宋_GB2312" w:cs="仿宋_GB2312"/>
          <w:color w:val="auto"/>
          <w:spacing w:val="0"/>
          <w:kern w:val="0"/>
          <w:sz w:val="32"/>
          <w:szCs w:val="32"/>
          <w:highlight w:val="none"/>
          <w:u w:val="none"/>
          <w:lang w:val="en-US" w:eastAsia="zh-CN" w:bidi="ar"/>
        </w:rPr>
        <w:t>对绩效目标实现程度和预算执行进度“双监控”，发现绩效运行与预期绩效目标发生偏离时，应当及时采取措施予以纠正。</w:t>
      </w:r>
      <w:r>
        <w:rPr>
          <w:rFonts w:hint="eastAsia" w:ascii="仿宋_GB2312" w:hAnsi="仿宋" w:eastAsia="仿宋_GB2312" w:cs="宋体"/>
          <w:color w:val="auto"/>
          <w:sz w:val="32"/>
          <w:szCs w:val="32"/>
          <w:highlight w:val="none"/>
          <w:u w:val="none"/>
          <w:lang w:eastAsia="zh-CN"/>
        </w:rPr>
        <w:t>预算执行结束后，各地按要求开展绩效自评并由设区市汇总上报，并对上报的评价结果和绩效评价相关材料的真实性负责。省财政厅根据工作需要组织开展财政评价。</w:t>
      </w:r>
    </w:p>
    <w:p>
      <w:pPr>
        <w:keepNext w:val="0"/>
        <w:keepLines w:val="0"/>
        <w:pageBreakBefore w:val="0"/>
        <w:widowControl w:val="0"/>
        <w:tabs>
          <w:tab w:val="left" w:pos="1440"/>
        </w:tabs>
        <w:kinsoku/>
        <w:wordWrap/>
        <w:overflowPunct/>
        <w:topLinePunct w:val="0"/>
        <w:autoSpaceDE/>
        <w:autoSpaceDN/>
        <w:bidi w:val="0"/>
        <w:adjustRightInd w:val="0"/>
        <w:snapToGrid w:val="0"/>
        <w:spacing w:line="610" w:lineRule="exact"/>
        <w:ind w:firstLine="622" w:firstLineChars="200"/>
        <w:textAlignment w:val="auto"/>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二十七</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各级林业主管部门将绩效运行监控、事中绩效评价及绩效评价等结果作为完善专项资金政策、改进管理以及下一年度预算申请、安排、分配的重要依据，其中预算执行情况作为资金分配的重要因素，预算执行缓慢的，相应减少安排下年度预算。</w:t>
      </w:r>
    </w:p>
    <w:p>
      <w:pPr>
        <w:keepNext w:val="0"/>
        <w:keepLines w:val="0"/>
        <w:pageBreakBefore w:val="0"/>
        <w:widowControl w:val="0"/>
        <w:tabs>
          <w:tab w:val="left" w:pos="1440"/>
        </w:tabs>
        <w:kinsoku/>
        <w:wordWrap/>
        <w:overflowPunct/>
        <w:topLinePunct w:val="0"/>
        <w:autoSpaceDE/>
        <w:autoSpaceDN/>
        <w:bidi w:val="0"/>
        <w:adjustRightInd w:val="0"/>
        <w:snapToGrid w:val="0"/>
        <w:spacing w:line="610" w:lineRule="exact"/>
        <w:ind w:firstLine="622" w:firstLineChars="200"/>
        <w:textAlignment w:val="auto"/>
        <w:outlineLvl w:val="9"/>
        <w:rPr>
          <w:rFonts w:hint="eastAsia" w:ascii="仿宋_GB2312" w:hAnsi="仿宋" w:eastAsia="仿宋_GB2312" w:cs="Times New Roman"/>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二十八</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s="Times New Roman"/>
          <w:color w:val="auto"/>
          <w:sz w:val="32"/>
          <w:szCs w:val="32"/>
          <w:highlight w:val="none"/>
          <w:u w:val="none"/>
        </w:rPr>
        <w:t xml:space="preserve"> </w:t>
      </w:r>
      <w:r>
        <w:rPr>
          <w:rFonts w:hint="eastAsia" w:ascii="仿宋_GB2312" w:hAnsi="仿宋" w:eastAsia="仿宋_GB2312" w:cs="宋体"/>
          <w:color w:val="auto"/>
          <w:sz w:val="32"/>
          <w:szCs w:val="32"/>
          <w:highlight w:val="none"/>
          <w:u w:val="none"/>
        </w:rPr>
        <w:t>各级财政部门和林业主管部门应当加强对</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资金的申请、分配、使用、管理情况的监督，发现问题及时纠正。</w:t>
      </w:r>
      <w:r>
        <w:rPr>
          <w:rFonts w:hint="eastAsia" w:ascii="仿宋_GB2312" w:hAnsi="仿宋" w:eastAsia="仿宋_GB2312" w:cs="Times New Roman"/>
          <w:color w:val="auto"/>
          <w:sz w:val="32"/>
          <w:szCs w:val="32"/>
          <w:highlight w:val="none"/>
          <w:u w:val="none"/>
        </w:rPr>
        <w:t>资金使用单位和个人应当主动接受财政、审计等部门的监督检查。</w:t>
      </w:r>
    </w:p>
    <w:p>
      <w:pPr>
        <w:keepNext w:val="0"/>
        <w:keepLines w:val="0"/>
        <w:pageBreakBefore w:val="0"/>
        <w:widowControl w:val="0"/>
        <w:kinsoku/>
        <w:wordWrap/>
        <w:overflowPunct/>
        <w:topLinePunct w:val="0"/>
        <w:autoSpaceDE/>
        <w:autoSpaceDN/>
        <w:bidi w:val="0"/>
        <w:spacing w:line="610" w:lineRule="exact"/>
        <w:ind w:firstLine="622" w:firstLineChars="200"/>
        <w:textAlignment w:val="auto"/>
        <w:outlineLvl w:val="9"/>
        <w:rPr>
          <w:rFonts w:hint="eastAsia" w:ascii="仿宋_GB2312" w:hAnsi="仿宋" w:eastAsia="仿宋_GB2312" w:cs="宋体"/>
          <w:color w:val="auto"/>
          <w:sz w:val="32"/>
          <w:szCs w:val="32"/>
          <w:highlight w:val="none"/>
          <w:u w:val="none"/>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二十九</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Times New Roman"/>
          <w:color w:val="auto"/>
          <w:sz w:val="32"/>
          <w:szCs w:val="32"/>
          <w:highlight w:val="none"/>
          <w:u w:val="none"/>
        </w:rPr>
        <w:t xml:space="preserve">  </w:t>
      </w:r>
      <w:r>
        <w:rPr>
          <w:rFonts w:hint="eastAsia" w:ascii="仿宋_GB2312" w:hAnsi="仿宋" w:eastAsia="仿宋_GB2312" w:cs="Times New Roman"/>
          <w:color w:val="auto"/>
          <w:sz w:val="32"/>
          <w:szCs w:val="32"/>
          <w:highlight w:val="none"/>
          <w:u w:val="none"/>
          <w:lang w:eastAsia="zh-CN"/>
        </w:rPr>
        <w:t>资金使用单位和个人在使用</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w:t>
      </w:r>
      <w:r>
        <w:rPr>
          <w:rFonts w:hint="eastAsia" w:ascii="仿宋_GB2312" w:hAnsi="仿宋" w:eastAsia="仿宋_GB2312" w:cs="宋体"/>
          <w:color w:val="auto"/>
          <w:sz w:val="32"/>
          <w:szCs w:val="32"/>
          <w:highlight w:val="none"/>
          <w:u w:val="none"/>
          <w:lang w:eastAsia="zh-CN"/>
        </w:rPr>
        <w:t>中存在违法违规行为的，按照</w:t>
      </w:r>
      <w:r>
        <w:rPr>
          <w:rFonts w:hint="eastAsia" w:ascii="仿宋_GB2312" w:hAnsi="仿宋" w:eastAsia="仿宋_GB2312" w:cs="宋体"/>
          <w:color w:val="auto"/>
          <w:sz w:val="32"/>
          <w:szCs w:val="32"/>
          <w:highlight w:val="none"/>
          <w:u w:val="none"/>
        </w:rPr>
        <w:t>《</w:t>
      </w:r>
      <w:r>
        <w:rPr>
          <w:rFonts w:hint="eastAsia" w:ascii="仿宋_GB2312" w:hAnsi="仿宋" w:eastAsia="仿宋_GB2312" w:cs="宋体"/>
          <w:color w:val="auto"/>
          <w:sz w:val="32"/>
          <w:szCs w:val="32"/>
          <w:highlight w:val="none"/>
          <w:u w:val="none"/>
          <w:lang w:eastAsia="zh-CN"/>
        </w:rPr>
        <w:t>中华人民共和国</w:t>
      </w:r>
      <w:r>
        <w:rPr>
          <w:rFonts w:hint="eastAsia" w:ascii="仿宋_GB2312" w:hAnsi="仿宋" w:eastAsia="仿宋_GB2312" w:cs="宋体"/>
          <w:color w:val="auto"/>
          <w:sz w:val="32"/>
          <w:szCs w:val="32"/>
          <w:highlight w:val="none"/>
          <w:u w:val="none"/>
        </w:rPr>
        <w:t>预算法》《财政违法行为处罚处分条例》等有关规定追究</w:t>
      </w:r>
      <w:r>
        <w:rPr>
          <w:rFonts w:hint="eastAsia" w:ascii="仿宋_GB2312" w:hAnsi="仿宋" w:eastAsia="仿宋_GB2312" w:cs="宋体"/>
          <w:color w:val="auto"/>
          <w:sz w:val="32"/>
          <w:szCs w:val="32"/>
          <w:highlight w:val="none"/>
          <w:u w:val="none"/>
          <w:lang w:eastAsia="zh-CN"/>
        </w:rPr>
        <w:t>相应</w:t>
      </w:r>
      <w:r>
        <w:rPr>
          <w:rFonts w:hint="eastAsia" w:ascii="仿宋_GB2312" w:hAnsi="仿宋" w:eastAsia="仿宋_GB2312" w:cs="宋体"/>
          <w:color w:val="auto"/>
          <w:sz w:val="32"/>
          <w:szCs w:val="32"/>
          <w:highlight w:val="none"/>
          <w:u w:val="none"/>
        </w:rPr>
        <w:t>责任。</w:t>
      </w:r>
    </w:p>
    <w:p>
      <w:pPr>
        <w:keepNext w:val="0"/>
        <w:keepLines w:val="0"/>
        <w:pageBreakBefore w:val="0"/>
        <w:widowControl w:val="0"/>
        <w:kinsoku/>
        <w:wordWrap/>
        <w:overflowPunct/>
        <w:topLinePunct w:val="0"/>
        <w:autoSpaceDE/>
        <w:autoSpaceDN/>
        <w:bidi w:val="0"/>
        <w:adjustRightInd/>
        <w:snapToGrid w:val="0"/>
        <w:spacing w:before="290" w:beforeLines="100" w:after="294" w:afterLines="100" w:line="600" w:lineRule="exact"/>
        <w:jc w:val="center"/>
        <w:textAlignment w:val="auto"/>
        <w:outlineLvl w:val="9"/>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rPr>
        <w:t>第</w:t>
      </w:r>
      <w:r>
        <w:rPr>
          <w:rFonts w:hint="eastAsia" w:ascii="黑体" w:hAnsi="黑体" w:eastAsia="黑体" w:cs="黑体"/>
          <w:b w:val="0"/>
          <w:bCs/>
          <w:color w:val="auto"/>
          <w:sz w:val="32"/>
          <w:szCs w:val="32"/>
          <w:highlight w:val="none"/>
          <w:u w:val="none"/>
          <w:lang w:eastAsia="zh-CN"/>
        </w:rPr>
        <w:t>六</w:t>
      </w:r>
      <w:r>
        <w:rPr>
          <w:rFonts w:hint="eastAsia" w:ascii="黑体" w:hAnsi="黑体" w:eastAsia="黑体" w:cs="黑体"/>
          <w:b w:val="0"/>
          <w:bCs/>
          <w:color w:val="auto"/>
          <w:sz w:val="32"/>
          <w:szCs w:val="32"/>
          <w:highlight w:val="none"/>
          <w:u w:val="none"/>
        </w:rPr>
        <w:t xml:space="preserve">章 </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附</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则</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19" w:firstLineChars="199"/>
        <w:textAlignment w:val="auto"/>
        <w:outlineLvl w:val="9"/>
        <w:rPr>
          <w:rFonts w:hint="eastAsia" w:ascii="仿宋_GB2312" w:hAnsi="仿宋" w:eastAsia="仿宋_GB2312" w:cs="宋体"/>
          <w:b w:val="0"/>
          <w:bCs w:val="0"/>
          <w:color w:val="auto"/>
          <w:sz w:val="32"/>
          <w:szCs w:val="32"/>
          <w:highlight w:val="none"/>
          <w:u w:val="none"/>
          <w:lang w:eastAsia="zh-CN"/>
        </w:rPr>
      </w:pPr>
      <w:r>
        <w:rPr>
          <w:rFonts w:hint="eastAsia" w:ascii="仿宋_GB2312" w:hAnsi="仿宋" w:eastAsia="仿宋_GB2312"/>
          <w:b/>
          <w:color w:val="auto"/>
          <w:spacing w:val="0"/>
          <w:sz w:val="32"/>
          <w:szCs w:val="32"/>
          <w:highlight w:val="none"/>
          <w:u w:val="none"/>
        </w:rPr>
        <w:t>第</w:t>
      </w:r>
      <w:r>
        <w:rPr>
          <w:rFonts w:hint="eastAsia" w:ascii="仿宋_GB2312" w:hAnsi="仿宋" w:eastAsia="仿宋_GB2312"/>
          <w:b/>
          <w:color w:val="auto"/>
          <w:spacing w:val="0"/>
          <w:sz w:val="32"/>
          <w:szCs w:val="32"/>
          <w:highlight w:val="none"/>
          <w:u w:val="none"/>
          <w:lang w:eastAsia="zh-CN"/>
        </w:rPr>
        <w:t>三十</w:t>
      </w:r>
      <w:r>
        <w:rPr>
          <w:rFonts w:hint="eastAsia" w:ascii="仿宋_GB2312" w:hAnsi="仿宋" w:eastAsia="仿宋_GB2312"/>
          <w:b/>
          <w:color w:val="auto"/>
          <w:spacing w:val="0"/>
          <w:sz w:val="32"/>
          <w:szCs w:val="32"/>
          <w:highlight w:val="none"/>
          <w:u w:val="none"/>
        </w:rPr>
        <w:t>条</w:t>
      </w:r>
      <w:r>
        <w:rPr>
          <w:rFonts w:hint="eastAsia" w:ascii="仿宋_GB2312" w:hAnsi="仿宋" w:eastAsia="仿宋_GB2312"/>
          <w:color w:val="auto"/>
          <w:spacing w:val="0"/>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 xml:space="preserve"> </w:t>
      </w:r>
      <w:r>
        <w:rPr>
          <w:rFonts w:hint="eastAsia" w:ascii="仿宋_GB2312" w:hAnsi="仿宋" w:eastAsia="仿宋_GB2312" w:cs="宋体"/>
          <w:b w:val="0"/>
          <w:bCs w:val="0"/>
          <w:color w:val="auto"/>
          <w:sz w:val="32"/>
          <w:szCs w:val="32"/>
          <w:highlight w:val="none"/>
          <w:u w:val="none"/>
          <w:lang w:eastAsia="zh-CN"/>
        </w:rPr>
        <w:t>中央财政</w:t>
      </w:r>
      <w:r>
        <w:rPr>
          <w:rFonts w:hint="eastAsia" w:ascii="仿宋_GB2312" w:hAnsi="仿宋_GB2312" w:eastAsia="仿宋_GB2312" w:cs="仿宋_GB2312"/>
          <w:b w:val="0"/>
          <w:bCs w:val="0"/>
          <w:strike w:val="0"/>
          <w:dstrike w:val="0"/>
          <w:color w:val="auto"/>
          <w:sz w:val="32"/>
          <w:szCs w:val="32"/>
          <w:u w:val="none"/>
          <w:lang w:eastAsia="zh-CN"/>
        </w:rPr>
        <w:t>下达</w:t>
      </w:r>
      <w:r>
        <w:rPr>
          <w:rFonts w:hint="eastAsia" w:ascii="仿宋_GB2312" w:hAnsi="仿宋_GB2312" w:eastAsia="仿宋_GB2312" w:cs="仿宋_GB2312"/>
          <w:strike w:val="0"/>
          <w:dstrike w:val="0"/>
          <w:color w:val="auto"/>
          <w:sz w:val="32"/>
          <w:szCs w:val="32"/>
          <w:u w:val="none"/>
          <w:lang w:eastAsia="zh-CN"/>
        </w:rPr>
        <w:t>的有关</w:t>
      </w:r>
      <w:r>
        <w:rPr>
          <w:rFonts w:hint="eastAsia" w:ascii="仿宋_GB2312" w:hAnsi="仿宋" w:eastAsia="仿宋_GB2312" w:cs="宋体"/>
          <w:b w:val="0"/>
          <w:bCs w:val="0"/>
          <w:color w:val="auto"/>
          <w:sz w:val="32"/>
          <w:szCs w:val="32"/>
          <w:highlight w:val="none"/>
          <w:u w:val="none"/>
          <w:lang w:eastAsia="zh-CN"/>
        </w:rPr>
        <w:t>资金按照本办法规定执行，有另行规定的按照中央财政资金管理办法有关规定执行。</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19" w:firstLineChars="199"/>
        <w:textAlignment w:val="auto"/>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color w:val="auto"/>
          <w:sz w:val="32"/>
          <w:szCs w:val="32"/>
          <w:highlight w:val="none"/>
          <w:u w:val="none"/>
          <w:lang w:eastAsia="zh-CN"/>
        </w:rPr>
        <w:t>各市、县（区）财政部门和林业主管部门应根据本办法和本地实际制定具体实施办法，加强和规范资金管理。</w:t>
      </w:r>
    </w:p>
    <w:p>
      <w:pPr>
        <w:keepNext w:val="0"/>
        <w:keepLines w:val="0"/>
        <w:pageBreakBefore w:val="0"/>
        <w:widowControl w:val="0"/>
        <w:tabs>
          <w:tab w:val="center" w:pos="4422"/>
        </w:tabs>
        <w:kinsoku/>
        <w:wordWrap/>
        <w:overflowPunct/>
        <w:topLinePunct w:val="0"/>
        <w:autoSpaceDE/>
        <w:autoSpaceDN/>
        <w:bidi w:val="0"/>
        <w:spacing w:line="600" w:lineRule="exact"/>
        <w:ind w:firstLine="622" w:firstLineChars="200"/>
        <w:textAlignment w:val="top"/>
        <w:outlineLvl w:val="9"/>
        <w:rPr>
          <w:rFonts w:hint="eastAsia" w:ascii="仿宋_GB2312" w:hAnsi="仿宋" w:eastAsia="仿宋_GB2312"/>
          <w:color w:val="auto"/>
          <w:spacing w:val="0"/>
          <w:sz w:val="32"/>
          <w:szCs w:val="32"/>
          <w:highlight w:val="none"/>
          <w:u w:val="none"/>
        </w:rPr>
      </w:pPr>
      <w:r>
        <w:rPr>
          <w:rFonts w:hint="eastAsia" w:ascii="仿宋_GB2312" w:hAnsi="仿宋" w:eastAsia="仿宋_GB2312"/>
          <w:b/>
          <w:color w:val="auto"/>
          <w:spacing w:val="0"/>
          <w:sz w:val="32"/>
          <w:szCs w:val="32"/>
          <w:highlight w:val="none"/>
          <w:u w:val="none"/>
        </w:rPr>
        <w:t>第</w:t>
      </w:r>
      <w:r>
        <w:rPr>
          <w:rFonts w:hint="eastAsia" w:ascii="仿宋_GB2312" w:hAnsi="仿宋" w:eastAsia="仿宋_GB2312"/>
          <w:b/>
          <w:color w:val="auto"/>
          <w:spacing w:val="0"/>
          <w:sz w:val="32"/>
          <w:szCs w:val="32"/>
          <w:highlight w:val="none"/>
          <w:u w:val="none"/>
          <w:lang w:eastAsia="zh-CN"/>
        </w:rPr>
        <w:t>三十一</w:t>
      </w:r>
      <w:r>
        <w:rPr>
          <w:rFonts w:hint="eastAsia" w:ascii="仿宋_GB2312" w:hAnsi="仿宋" w:eastAsia="仿宋_GB2312"/>
          <w:b/>
          <w:color w:val="auto"/>
          <w:spacing w:val="0"/>
          <w:sz w:val="32"/>
          <w:szCs w:val="32"/>
          <w:highlight w:val="none"/>
          <w:u w:val="none"/>
        </w:rPr>
        <w:t>条</w:t>
      </w:r>
      <w:r>
        <w:rPr>
          <w:rFonts w:hint="eastAsia" w:ascii="仿宋_GB2312" w:hAnsi="仿宋" w:eastAsia="仿宋_GB2312"/>
          <w:color w:val="auto"/>
          <w:spacing w:val="0"/>
          <w:sz w:val="32"/>
          <w:szCs w:val="32"/>
          <w:highlight w:val="none"/>
          <w:u w:val="none"/>
        </w:rPr>
        <w:t xml:space="preserve"> </w:t>
      </w:r>
      <w:r>
        <w:rPr>
          <w:rFonts w:hint="eastAsia" w:ascii="仿宋_GB2312" w:hAnsi="仿宋" w:eastAsia="仿宋_GB2312"/>
          <w:b/>
          <w:color w:val="auto"/>
          <w:spacing w:val="0"/>
          <w:sz w:val="32"/>
          <w:szCs w:val="32"/>
          <w:highlight w:val="none"/>
          <w:u w:val="none"/>
          <w:lang w:val="en-US" w:eastAsia="zh-CN"/>
        </w:rPr>
        <w:t xml:space="preserve"> </w:t>
      </w:r>
      <w:r>
        <w:rPr>
          <w:rFonts w:hint="eastAsia" w:ascii="仿宋_GB2312" w:hAnsi="仿宋" w:eastAsia="仿宋_GB2312"/>
          <w:b w:val="0"/>
          <w:bCs/>
          <w:color w:val="auto"/>
          <w:spacing w:val="0"/>
          <w:sz w:val="32"/>
          <w:szCs w:val="32"/>
          <w:highlight w:val="none"/>
          <w:u w:val="none"/>
          <w:lang w:val="en-US" w:eastAsia="zh-CN"/>
        </w:rPr>
        <w:t>各地应根据财政事权与支出责任划分改革实施方案要求，安排资金用于林业生态保护补助。</w:t>
      </w:r>
    </w:p>
    <w:p>
      <w:pPr>
        <w:keepNext w:val="0"/>
        <w:keepLines w:val="0"/>
        <w:pageBreakBefore w:val="0"/>
        <w:widowControl w:val="0"/>
        <w:tabs>
          <w:tab w:val="left" w:pos="0"/>
        </w:tabs>
        <w:kinsoku/>
        <w:wordWrap/>
        <w:overflowPunct/>
        <w:topLinePunct w:val="0"/>
        <w:autoSpaceDE/>
        <w:autoSpaceDN/>
        <w:bidi w:val="0"/>
        <w:spacing w:line="600" w:lineRule="exact"/>
        <w:ind w:firstLine="619" w:firstLineChars="199"/>
        <w:outlineLvl w:val="9"/>
        <w:rPr>
          <w:rFonts w:hint="eastAsia" w:ascii="仿宋_GB2312" w:hAnsi="仿宋" w:eastAsia="仿宋_GB2312" w:cs="宋体"/>
          <w:color w:val="auto"/>
          <w:spacing w:val="0"/>
          <w:sz w:val="32"/>
          <w:szCs w:val="32"/>
          <w:highlight w:val="none"/>
          <w:u w:val="none"/>
        </w:rPr>
      </w:pPr>
      <w:r>
        <w:rPr>
          <w:rFonts w:hint="eastAsia" w:ascii="仿宋_GB2312" w:hAnsi="仿宋" w:eastAsia="仿宋_GB2312"/>
          <w:b/>
          <w:color w:val="auto"/>
          <w:spacing w:val="0"/>
          <w:sz w:val="32"/>
          <w:szCs w:val="32"/>
          <w:highlight w:val="none"/>
          <w:u w:val="none"/>
        </w:rPr>
        <w:t>第</w:t>
      </w:r>
      <w:r>
        <w:rPr>
          <w:rFonts w:hint="eastAsia" w:ascii="仿宋_GB2312" w:hAnsi="仿宋" w:eastAsia="仿宋_GB2312"/>
          <w:b/>
          <w:color w:val="auto"/>
          <w:spacing w:val="0"/>
          <w:sz w:val="32"/>
          <w:szCs w:val="32"/>
          <w:highlight w:val="none"/>
          <w:u w:val="none"/>
          <w:lang w:eastAsia="zh-CN"/>
        </w:rPr>
        <w:t>三十二</w:t>
      </w:r>
      <w:r>
        <w:rPr>
          <w:rFonts w:hint="eastAsia" w:ascii="仿宋_GB2312" w:hAnsi="仿宋" w:eastAsia="仿宋_GB2312"/>
          <w:b/>
          <w:color w:val="auto"/>
          <w:spacing w:val="0"/>
          <w:sz w:val="32"/>
          <w:szCs w:val="32"/>
          <w:highlight w:val="none"/>
          <w:u w:val="none"/>
        </w:rPr>
        <w:t>条</w:t>
      </w:r>
      <w:r>
        <w:rPr>
          <w:rFonts w:hint="eastAsia" w:ascii="仿宋_GB2312" w:hAnsi="仿宋" w:eastAsia="仿宋_GB2312"/>
          <w:b/>
          <w:color w:val="auto"/>
          <w:spacing w:val="0"/>
          <w:sz w:val="32"/>
          <w:szCs w:val="32"/>
          <w:highlight w:val="none"/>
          <w:u w:val="none"/>
          <w:lang w:val="en-US" w:eastAsia="zh-CN"/>
        </w:rPr>
        <w:t xml:space="preserve">  </w:t>
      </w:r>
      <w:r>
        <w:rPr>
          <w:rFonts w:hint="eastAsia" w:ascii="仿宋_GB2312" w:hAnsi="仿宋" w:eastAsia="仿宋_GB2312" w:cs="宋体"/>
          <w:color w:val="auto"/>
          <w:spacing w:val="0"/>
          <w:sz w:val="32"/>
          <w:szCs w:val="32"/>
          <w:highlight w:val="none"/>
          <w:u w:val="none"/>
        </w:rPr>
        <w:t>本办法由省财政厅会同省林业局负责解释。</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19" w:firstLineChars="199"/>
        <w:textAlignment w:val="auto"/>
        <w:outlineLvl w:val="9"/>
        <w:rPr>
          <w:rFonts w:hint="eastAsia" w:ascii="仿宋_GB2312" w:hAnsi="仿宋" w:eastAsia="仿宋_GB2312" w:cs="宋体"/>
          <w:color w:val="auto"/>
          <w:spacing w:val="-4"/>
          <w:sz w:val="32"/>
          <w:szCs w:val="32"/>
          <w:highlight w:val="none"/>
          <w:u w:val="none" w:color="auto"/>
          <w:lang w:val="en-US" w:eastAsia="zh-CN"/>
        </w:rPr>
      </w:pPr>
      <w:r>
        <w:rPr>
          <w:rFonts w:hint="eastAsia" w:ascii="仿宋_GB2312" w:hAnsi="仿宋" w:eastAsia="仿宋_GB2312"/>
          <w:b/>
          <w:color w:val="auto"/>
          <w:spacing w:val="0"/>
          <w:sz w:val="32"/>
          <w:szCs w:val="32"/>
          <w:highlight w:val="none"/>
          <w:u w:val="none"/>
        </w:rPr>
        <w:t>第</w:t>
      </w:r>
      <w:r>
        <w:rPr>
          <w:rFonts w:hint="eastAsia" w:ascii="仿宋_GB2312" w:hAnsi="仿宋" w:eastAsia="仿宋_GB2312"/>
          <w:b/>
          <w:color w:val="auto"/>
          <w:spacing w:val="0"/>
          <w:sz w:val="32"/>
          <w:szCs w:val="32"/>
          <w:highlight w:val="none"/>
          <w:u w:val="none"/>
          <w:lang w:eastAsia="zh-CN"/>
        </w:rPr>
        <w:t>三十三</w:t>
      </w:r>
      <w:r>
        <w:rPr>
          <w:rFonts w:hint="eastAsia" w:ascii="仿宋_GB2312" w:hAnsi="仿宋" w:eastAsia="仿宋_GB2312"/>
          <w:b/>
          <w:color w:val="auto"/>
          <w:spacing w:val="0"/>
          <w:sz w:val="32"/>
          <w:szCs w:val="32"/>
          <w:highlight w:val="none"/>
          <w:u w:val="none"/>
        </w:rPr>
        <w:t xml:space="preserve">条  </w:t>
      </w:r>
      <w:r>
        <w:rPr>
          <w:rFonts w:hint="eastAsia" w:ascii="仿宋_GB2312" w:hAnsi="仿宋" w:eastAsia="仿宋_GB2312" w:cs="Times New Roman"/>
          <w:color w:val="auto"/>
          <w:spacing w:val="0"/>
          <w:kern w:val="0"/>
          <w:sz w:val="32"/>
          <w:szCs w:val="32"/>
          <w:highlight w:val="none"/>
          <w:u w:val="none"/>
        </w:rPr>
        <w:t>本办法自印</w:t>
      </w:r>
      <w:r>
        <w:rPr>
          <w:rFonts w:hint="eastAsia" w:ascii="仿宋_GB2312" w:hAnsi="仿宋" w:eastAsia="仿宋_GB2312" w:cs="Times New Roman"/>
          <w:b w:val="0"/>
          <w:bCs/>
          <w:color w:val="auto"/>
          <w:spacing w:val="0"/>
          <w:sz w:val="32"/>
          <w:szCs w:val="32"/>
          <w:highlight w:val="none"/>
          <w:u w:val="none"/>
          <w:lang w:val="en-US" w:eastAsia="zh-CN"/>
        </w:rPr>
        <w:t>发之日起施行，有效期至2026年12月31日。</w:t>
      </w:r>
    </w:p>
    <w:sectPr>
      <w:headerReference r:id="rId4" w:type="first"/>
      <w:headerReference r:id="rId3" w:type="default"/>
      <w:footerReference r:id="rId5" w:type="default"/>
      <w:footerReference r:id="rId6" w:type="even"/>
      <w:pgSz w:w="11906" w:h="16838"/>
      <w:pgMar w:top="1701" w:right="1531" w:bottom="1531" w:left="1531" w:header="851" w:footer="1134" w:gutter="0"/>
      <w:pgNumType w:fmt="numberInDash" w:start="1"/>
      <w:cols w:space="720" w:num="1"/>
      <w:rtlGutter w:val="0"/>
      <w:docGrid w:type="linesAndChars" w:linePitch="289" w:charSpace="-184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20"/>
        <w:tab w:val="clear" w:pos="8306"/>
      </w:tabs>
      <w:ind w:right="210" w:rightChars="10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right" w:pos="8820"/>
                              <w:tab w:val="clear" w:pos="8306"/>
                            </w:tabs>
                            <w:ind w:right="21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oEePIAQAAew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9aBHjyAEAAHsDAAAOAAAAAAAA&#10;AAEAIAAAADQBAABkcnMvZTJvRG9jLnhtbFBLBQYAAAAABgAGAFkBAABuBQAAAAA=&#10;">
              <v:fill on="f" focussize="0,0"/>
              <v:stroke on="f"/>
              <v:imagedata o:title=""/>
              <o:lock v:ext="edit" aspectratio="f"/>
              <v:textbox inset="0mm,0mm,0mm,0mm" style="mso-fit-shape-to-text:t;">
                <w:txbxContent>
                  <w:p>
                    <w:pPr>
                      <w:pStyle w:val="5"/>
                      <w:tabs>
                        <w:tab w:val="right" w:pos="8820"/>
                        <w:tab w:val="clear" w:pos="8306"/>
                      </w:tabs>
                      <w:ind w:right="21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ind w:left="210" w:lef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t05R/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Lt05R/HAQAAewMAAA4AAAAAAAAA&#10;AQAgAAAANAEAAGRycy9lMm9Eb2MueG1sUEsFBgAAAAAGAAYAWQEAAG0FAAAAAA==&#10;">
              <v:fill on="f" focussize="0,0"/>
              <v:stroke on="f"/>
              <v:imagedata o:title=""/>
              <o:lock v:ext="edit" aspectratio="f"/>
              <v:textbox inset="0mm,0mm,0mm,0mm" style="mso-fit-shape-to-text:t;">
                <w:txbxContent>
                  <w:p>
                    <w:pPr>
                      <w:pStyle w:val="5"/>
                      <w:ind w:left="210" w:lef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evenAndOddHeaders w:val="true"/>
  <w:drawingGridHorizontalSpacing w:val="201"/>
  <w:drawingGridVerticalSpacing w:val="14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ExistBodyBookMark" w:val="False"/>
    <w:docVar w:name="WordType" w:val="createword"/>
  </w:docVars>
  <w:rsids>
    <w:rsidRoot w:val="0011735A"/>
    <w:rsid w:val="00001143"/>
    <w:rsid w:val="00001EDC"/>
    <w:rsid w:val="00011B5F"/>
    <w:rsid w:val="00017010"/>
    <w:rsid w:val="00021347"/>
    <w:rsid w:val="000232AA"/>
    <w:rsid w:val="000270E8"/>
    <w:rsid w:val="000337B0"/>
    <w:rsid w:val="00035199"/>
    <w:rsid w:val="00037583"/>
    <w:rsid w:val="00051EF2"/>
    <w:rsid w:val="00052C88"/>
    <w:rsid w:val="0008359F"/>
    <w:rsid w:val="00087E83"/>
    <w:rsid w:val="00090B3D"/>
    <w:rsid w:val="000A3D69"/>
    <w:rsid w:val="000A6FEF"/>
    <w:rsid w:val="000B0376"/>
    <w:rsid w:val="000B268B"/>
    <w:rsid w:val="000B612A"/>
    <w:rsid w:val="000C2545"/>
    <w:rsid w:val="000D7BD9"/>
    <w:rsid w:val="000E0882"/>
    <w:rsid w:val="000E222C"/>
    <w:rsid w:val="000E4758"/>
    <w:rsid w:val="000E611D"/>
    <w:rsid w:val="000F4178"/>
    <w:rsid w:val="000F4652"/>
    <w:rsid w:val="000F5DAE"/>
    <w:rsid w:val="000F67CB"/>
    <w:rsid w:val="001049CA"/>
    <w:rsid w:val="001142C3"/>
    <w:rsid w:val="0011735A"/>
    <w:rsid w:val="00121CD4"/>
    <w:rsid w:val="00123F0E"/>
    <w:rsid w:val="00125924"/>
    <w:rsid w:val="00132DF9"/>
    <w:rsid w:val="00137FE3"/>
    <w:rsid w:val="0014114E"/>
    <w:rsid w:val="00141B71"/>
    <w:rsid w:val="00154517"/>
    <w:rsid w:val="00154B55"/>
    <w:rsid w:val="00165F4A"/>
    <w:rsid w:val="00166A00"/>
    <w:rsid w:val="00173BF6"/>
    <w:rsid w:val="001832F0"/>
    <w:rsid w:val="00186528"/>
    <w:rsid w:val="00187F74"/>
    <w:rsid w:val="001951BB"/>
    <w:rsid w:val="001A68A7"/>
    <w:rsid w:val="001A6C57"/>
    <w:rsid w:val="001A6E56"/>
    <w:rsid w:val="001B634A"/>
    <w:rsid w:val="001D49AE"/>
    <w:rsid w:val="001E4209"/>
    <w:rsid w:val="001F088D"/>
    <w:rsid w:val="001F0EC3"/>
    <w:rsid w:val="0021023E"/>
    <w:rsid w:val="0021394F"/>
    <w:rsid w:val="002143DF"/>
    <w:rsid w:val="002162B1"/>
    <w:rsid w:val="00221A6B"/>
    <w:rsid w:val="00224A52"/>
    <w:rsid w:val="002307A9"/>
    <w:rsid w:val="00231DC3"/>
    <w:rsid w:val="00232F32"/>
    <w:rsid w:val="002536D2"/>
    <w:rsid w:val="00256986"/>
    <w:rsid w:val="00263FCD"/>
    <w:rsid w:val="00291D3C"/>
    <w:rsid w:val="002A08CE"/>
    <w:rsid w:val="002A3AD0"/>
    <w:rsid w:val="002B2E62"/>
    <w:rsid w:val="002B330A"/>
    <w:rsid w:val="002B394D"/>
    <w:rsid w:val="002B7FA0"/>
    <w:rsid w:val="002C09C6"/>
    <w:rsid w:val="002C15D6"/>
    <w:rsid w:val="002C47D7"/>
    <w:rsid w:val="002D1DF0"/>
    <w:rsid w:val="002F1B58"/>
    <w:rsid w:val="00305C66"/>
    <w:rsid w:val="00307145"/>
    <w:rsid w:val="00316EC5"/>
    <w:rsid w:val="00317194"/>
    <w:rsid w:val="003218DB"/>
    <w:rsid w:val="00322A51"/>
    <w:rsid w:val="00323919"/>
    <w:rsid w:val="00325038"/>
    <w:rsid w:val="0033604F"/>
    <w:rsid w:val="00337AC2"/>
    <w:rsid w:val="00345241"/>
    <w:rsid w:val="00350B48"/>
    <w:rsid w:val="003511AC"/>
    <w:rsid w:val="003569B0"/>
    <w:rsid w:val="00356B6B"/>
    <w:rsid w:val="003743DD"/>
    <w:rsid w:val="003756E5"/>
    <w:rsid w:val="003817E1"/>
    <w:rsid w:val="00384C45"/>
    <w:rsid w:val="003970BA"/>
    <w:rsid w:val="003A6414"/>
    <w:rsid w:val="003A73AF"/>
    <w:rsid w:val="003B255E"/>
    <w:rsid w:val="003B29D1"/>
    <w:rsid w:val="003B373A"/>
    <w:rsid w:val="003B653D"/>
    <w:rsid w:val="003C1050"/>
    <w:rsid w:val="003C23FF"/>
    <w:rsid w:val="003C6EEA"/>
    <w:rsid w:val="003D1F4F"/>
    <w:rsid w:val="003E1830"/>
    <w:rsid w:val="003E7A2A"/>
    <w:rsid w:val="003F05C9"/>
    <w:rsid w:val="003F1050"/>
    <w:rsid w:val="004023EE"/>
    <w:rsid w:val="00402A6C"/>
    <w:rsid w:val="00405B4B"/>
    <w:rsid w:val="00405CE3"/>
    <w:rsid w:val="004248FD"/>
    <w:rsid w:val="00430061"/>
    <w:rsid w:val="004310C7"/>
    <w:rsid w:val="00432501"/>
    <w:rsid w:val="00440A79"/>
    <w:rsid w:val="00441C44"/>
    <w:rsid w:val="00445372"/>
    <w:rsid w:val="00450A98"/>
    <w:rsid w:val="00452ED3"/>
    <w:rsid w:val="00454C6C"/>
    <w:rsid w:val="00456BE3"/>
    <w:rsid w:val="00483883"/>
    <w:rsid w:val="00484106"/>
    <w:rsid w:val="00486554"/>
    <w:rsid w:val="00492297"/>
    <w:rsid w:val="00493EA0"/>
    <w:rsid w:val="00497008"/>
    <w:rsid w:val="004A6964"/>
    <w:rsid w:val="004B57FD"/>
    <w:rsid w:val="004C3C0B"/>
    <w:rsid w:val="004C667A"/>
    <w:rsid w:val="004D12F7"/>
    <w:rsid w:val="004D7116"/>
    <w:rsid w:val="004E388F"/>
    <w:rsid w:val="004E67AF"/>
    <w:rsid w:val="004F0C4C"/>
    <w:rsid w:val="004F5006"/>
    <w:rsid w:val="004F545A"/>
    <w:rsid w:val="004F5487"/>
    <w:rsid w:val="005109D7"/>
    <w:rsid w:val="00510C2F"/>
    <w:rsid w:val="00515ADA"/>
    <w:rsid w:val="0051702A"/>
    <w:rsid w:val="00517E44"/>
    <w:rsid w:val="00520B9A"/>
    <w:rsid w:val="00544D1D"/>
    <w:rsid w:val="0055791C"/>
    <w:rsid w:val="00560678"/>
    <w:rsid w:val="00575540"/>
    <w:rsid w:val="0057731F"/>
    <w:rsid w:val="00577AF2"/>
    <w:rsid w:val="00584735"/>
    <w:rsid w:val="00586281"/>
    <w:rsid w:val="005A0742"/>
    <w:rsid w:val="005B3AD5"/>
    <w:rsid w:val="005C6937"/>
    <w:rsid w:val="005E666A"/>
    <w:rsid w:val="005F4DCE"/>
    <w:rsid w:val="00606471"/>
    <w:rsid w:val="00606B21"/>
    <w:rsid w:val="006114A1"/>
    <w:rsid w:val="0061274D"/>
    <w:rsid w:val="00627B32"/>
    <w:rsid w:val="00630596"/>
    <w:rsid w:val="0064627F"/>
    <w:rsid w:val="00647084"/>
    <w:rsid w:val="0065295F"/>
    <w:rsid w:val="00653CD6"/>
    <w:rsid w:val="00654709"/>
    <w:rsid w:val="00655BA4"/>
    <w:rsid w:val="0065693C"/>
    <w:rsid w:val="006604FC"/>
    <w:rsid w:val="006709C0"/>
    <w:rsid w:val="00674D17"/>
    <w:rsid w:val="00677B3C"/>
    <w:rsid w:val="00677BA1"/>
    <w:rsid w:val="00680752"/>
    <w:rsid w:val="00681004"/>
    <w:rsid w:val="006878A7"/>
    <w:rsid w:val="00691458"/>
    <w:rsid w:val="0069146D"/>
    <w:rsid w:val="00693BCE"/>
    <w:rsid w:val="00696BAA"/>
    <w:rsid w:val="006A0524"/>
    <w:rsid w:val="006A6709"/>
    <w:rsid w:val="006A7628"/>
    <w:rsid w:val="006B6B3B"/>
    <w:rsid w:val="006B6D63"/>
    <w:rsid w:val="006C2CF6"/>
    <w:rsid w:val="006E395F"/>
    <w:rsid w:val="006E4F0E"/>
    <w:rsid w:val="006E69B7"/>
    <w:rsid w:val="006E6CDA"/>
    <w:rsid w:val="006F3737"/>
    <w:rsid w:val="006F4587"/>
    <w:rsid w:val="00700B74"/>
    <w:rsid w:val="0070287A"/>
    <w:rsid w:val="0071177E"/>
    <w:rsid w:val="007135C3"/>
    <w:rsid w:val="00713E9F"/>
    <w:rsid w:val="00715130"/>
    <w:rsid w:val="00716476"/>
    <w:rsid w:val="00717AD2"/>
    <w:rsid w:val="00722727"/>
    <w:rsid w:val="007329BD"/>
    <w:rsid w:val="00734E29"/>
    <w:rsid w:val="00743DD5"/>
    <w:rsid w:val="00746368"/>
    <w:rsid w:val="0075050D"/>
    <w:rsid w:val="00753C62"/>
    <w:rsid w:val="00757235"/>
    <w:rsid w:val="00757A12"/>
    <w:rsid w:val="0076017C"/>
    <w:rsid w:val="0077119C"/>
    <w:rsid w:val="007847E7"/>
    <w:rsid w:val="007924CD"/>
    <w:rsid w:val="007939C6"/>
    <w:rsid w:val="007952D4"/>
    <w:rsid w:val="00797B38"/>
    <w:rsid w:val="007A6873"/>
    <w:rsid w:val="007B279E"/>
    <w:rsid w:val="007B55E5"/>
    <w:rsid w:val="007B5E11"/>
    <w:rsid w:val="007C3214"/>
    <w:rsid w:val="007D108E"/>
    <w:rsid w:val="00814A89"/>
    <w:rsid w:val="008174A9"/>
    <w:rsid w:val="00821692"/>
    <w:rsid w:val="00822699"/>
    <w:rsid w:val="008319C2"/>
    <w:rsid w:val="00834454"/>
    <w:rsid w:val="00850A93"/>
    <w:rsid w:val="00850D9C"/>
    <w:rsid w:val="00852D89"/>
    <w:rsid w:val="00853F56"/>
    <w:rsid w:val="0085711C"/>
    <w:rsid w:val="008648D2"/>
    <w:rsid w:val="00866063"/>
    <w:rsid w:val="00866D92"/>
    <w:rsid w:val="0087186F"/>
    <w:rsid w:val="008734B1"/>
    <w:rsid w:val="00882DB8"/>
    <w:rsid w:val="008855E3"/>
    <w:rsid w:val="008903D5"/>
    <w:rsid w:val="00893DD5"/>
    <w:rsid w:val="008A3150"/>
    <w:rsid w:val="008A35AB"/>
    <w:rsid w:val="008B2CAE"/>
    <w:rsid w:val="008B7858"/>
    <w:rsid w:val="008D1C39"/>
    <w:rsid w:val="008D71F6"/>
    <w:rsid w:val="008E348E"/>
    <w:rsid w:val="008E3F5C"/>
    <w:rsid w:val="008E7414"/>
    <w:rsid w:val="008F19E0"/>
    <w:rsid w:val="008F3DD3"/>
    <w:rsid w:val="00910682"/>
    <w:rsid w:val="00920D76"/>
    <w:rsid w:val="009215C9"/>
    <w:rsid w:val="00923528"/>
    <w:rsid w:val="00933D72"/>
    <w:rsid w:val="00935017"/>
    <w:rsid w:val="009405A1"/>
    <w:rsid w:val="00946C26"/>
    <w:rsid w:val="00954884"/>
    <w:rsid w:val="00964807"/>
    <w:rsid w:val="00965F63"/>
    <w:rsid w:val="0097285D"/>
    <w:rsid w:val="00981CE7"/>
    <w:rsid w:val="00982859"/>
    <w:rsid w:val="0098486F"/>
    <w:rsid w:val="00991AC2"/>
    <w:rsid w:val="00992DE0"/>
    <w:rsid w:val="009932A3"/>
    <w:rsid w:val="009941E5"/>
    <w:rsid w:val="009A0109"/>
    <w:rsid w:val="009A0B3C"/>
    <w:rsid w:val="009C07EC"/>
    <w:rsid w:val="009C5BC5"/>
    <w:rsid w:val="009C7F9E"/>
    <w:rsid w:val="009D1594"/>
    <w:rsid w:val="009D24B9"/>
    <w:rsid w:val="009E0D71"/>
    <w:rsid w:val="009E4DFB"/>
    <w:rsid w:val="00A12CF1"/>
    <w:rsid w:val="00A249F8"/>
    <w:rsid w:val="00A25FF7"/>
    <w:rsid w:val="00A334E0"/>
    <w:rsid w:val="00A335E6"/>
    <w:rsid w:val="00A34844"/>
    <w:rsid w:val="00A37115"/>
    <w:rsid w:val="00A54A42"/>
    <w:rsid w:val="00A55CCD"/>
    <w:rsid w:val="00A56F95"/>
    <w:rsid w:val="00A60C77"/>
    <w:rsid w:val="00A613AA"/>
    <w:rsid w:val="00A74F0E"/>
    <w:rsid w:val="00A7685B"/>
    <w:rsid w:val="00A82DAC"/>
    <w:rsid w:val="00A869BC"/>
    <w:rsid w:val="00A87C0D"/>
    <w:rsid w:val="00A976B3"/>
    <w:rsid w:val="00AA3D00"/>
    <w:rsid w:val="00AA4666"/>
    <w:rsid w:val="00AB36AC"/>
    <w:rsid w:val="00AC3EAB"/>
    <w:rsid w:val="00AC621E"/>
    <w:rsid w:val="00AE0600"/>
    <w:rsid w:val="00AE3135"/>
    <w:rsid w:val="00AE7C62"/>
    <w:rsid w:val="00AF0720"/>
    <w:rsid w:val="00AF31A9"/>
    <w:rsid w:val="00AF5358"/>
    <w:rsid w:val="00AF5618"/>
    <w:rsid w:val="00B03280"/>
    <w:rsid w:val="00B04C25"/>
    <w:rsid w:val="00B04EAE"/>
    <w:rsid w:val="00B13AFA"/>
    <w:rsid w:val="00B155F5"/>
    <w:rsid w:val="00B17F3F"/>
    <w:rsid w:val="00B23766"/>
    <w:rsid w:val="00B249FA"/>
    <w:rsid w:val="00B343FB"/>
    <w:rsid w:val="00B356BA"/>
    <w:rsid w:val="00B358EC"/>
    <w:rsid w:val="00B36AC1"/>
    <w:rsid w:val="00B371B1"/>
    <w:rsid w:val="00B43297"/>
    <w:rsid w:val="00B61A5C"/>
    <w:rsid w:val="00B62254"/>
    <w:rsid w:val="00B6411B"/>
    <w:rsid w:val="00B70D44"/>
    <w:rsid w:val="00B83C20"/>
    <w:rsid w:val="00B965E4"/>
    <w:rsid w:val="00B968A0"/>
    <w:rsid w:val="00BB0033"/>
    <w:rsid w:val="00BB1986"/>
    <w:rsid w:val="00BC19F4"/>
    <w:rsid w:val="00BC6772"/>
    <w:rsid w:val="00BC77E7"/>
    <w:rsid w:val="00BC7CC6"/>
    <w:rsid w:val="00BD5020"/>
    <w:rsid w:val="00BD6465"/>
    <w:rsid w:val="00BD6C4A"/>
    <w:rsid w:val="00BF0F81"/>
    <w:rsid w:val="00BF382B"/>
    <w:rsid w:val="00BF5E83"/>
    <w:rsid w:val="00C05521"/>
    <w:rsid w:val="00C06E96"/>
    <w:rsid w:val="00C12C7A"/>
    <w:rsid w:val="00C15288"/>
    <w:rsid w:val="00C16267"/>
    <w:rsid w:val="00C22D51"/>
    <w:rsid w:val="00C2736F"/>
    <w:rsid w:val="00C412AC"/>
    <w:rsid w:val="00C51E26"/>
    <w:rsid w:val="00C56778"/>
    <w:rsid w:val="00C57E65"/>
    <w:rsid w:val="00C725A3"/>
    <w:rsid w:val="00C732C0"/>
    <w:rsid w:val="00C77D40"/>
    <w:rsid w:val="00C80B43"/>
    <w:rsid w:val="00C91938"/>
    <w:rsid w:val="00C923C6"/>
    <w:rsid w:val="00C95CD3"/>
    <w:rsid w:val="00CA262B"/>
    <w:rsid w:val="00CB1943"/>
    <w:rsid w:val="00CB2493"/>
    <w:rsid w:val="00CC1532"/>
    <w:rsid w:val="00CC58C0"/>
    <w:rsid w:val="00CC6C1D"/>
    <w:rsid w:val="00CC7446"/>
    <w:rsid w:val="00CE10AD"/>
    <w:rsid w:val="00CE3969"/>
    <w:rsid w:val="00CE59C5"/>
    <w:rsid w:val="00CF77A3"/>
    <w:rsid w:val="00D01F5B"/>
    <w:rsid w:val="00D11BEF"/>
    <w:rsid w:val="00D13D37"/>
    <w:rsid w:val="00D20B64"/>
    <w:rsid w:val="00D37DE4"/>
    <w:rsid w:val="00D403E6"/>
    <w:rsid w:val="00D4600C"/>
    <w:rsid w:val="00D4639D"/>
    <w:rsid w:val="00D51CDF"/>
    <w:rsid w:val="00D57A34"/>
    <w:rsid w:val="00D63117"/>
    <w:rsid w:val="00D6337E"/>
    <w:rsid w:val="00D63853"/>
    <w:rsid w:val="00D67808"/>
    <w:rsid w:val="00D766B0"/>
    <w:rsid w:val="00D807E3"/>
    <w:rsid w:val="00D820E1"/>
    <w:rsid w:val="00D83B61"/>
    <w:rsid w:val="00D97860"/>
    <w:rsid w:val="00DA1AAB"/>
    <w:rsid w:val="00DA3628"/>
    <w:rsid w:val="00DA6A13"/>
    <w:rsid w:val="00DA7D80"/>
    <w:rsid w:val="00DB21C7"/>
    <w:rsid w:val="00DB50F1"/>
    <w:rsid w:val="00DB6502"/>
    <w:rsid w:val="00DC2193"/>
    <w:rsid w:val="00DC45F3"/>
    <w:rsid w:val="00DE3492"/>
    <w:rsid w:val="00DE3D2D"/>
    <w:rsid w:val="00DE4AD6"/>
    <w:rsid w:val="00E0074D"/>
    <w:rsid w:val="00E00EBF"/>
    <w:rsid w:val="00E04BE2"/>
    <w:rsid w:val="00E1280F"/>
    <w:rsid w:val="00E208BC"/>
    <w:rsid w:val="00E2631D"/>
    <w:rsid w:val="00E3727C"/>
    <w:rsid w:val="00E40D17"/>
    <w:rsid w:val="00E516BA"/>
    <w:rsid w:val="00E52527"/>
    <w:rsid w:val="00E56AAE"/>
    <w:rsid w:val="00E5786E"/>
    <w:rsid w:val="00E61795"/>
    <w:rsid w:val="00E6654A"/>
    <w:rsid w:val="00E737CC"/>
    <w:rsid w:val="00E8718C"/>
    <w:rsid w:val="00E87FF7"/>
    <w:rsid w:val="00E91995"/>
    <w:rsid w:val="00EA1BB7"/>
    <w:rsid w:val="00EA33B6"/>
    <w:rsid w:val="00EB294C"/>
    <w:rsid w:val="00EB72B2"/>
    <w:rsid w:val="00EC3019"/>
    <w:rsid w:val="00EC62A6"/>
    <w:rsid w:val="00ED48A3"/>
    <w:rsid w:val="00ED55CD"/>
    <w:rsid w:val="00ED57B5"/>
    <w:rsid w:val="00EF17A9"/>
    <w:rsid w:val="00EF74C8"/>
    <w:rsid w:val="00F0651A"/>
    <w:rsid w:val="00F06F88"/>
    <w:rsid w:val="00F152EA"/>
    <w:rsid w:val="00F2600C"/>
    <w:rsid w:val="00F51870"/>
    <w:rsid w:val="00F6672E"/>
    <w:rsid w:val="00F7108D"/>
    <w:rsid w:val="00F75591"/>
    <w:rsid w:val="00F771C3"/>
    <w:rsid w:val="00F82142"/>
    <w:rsid w:val="00F846AD"/>
    <w:rsid w:val="00F84F2A"/>
    <w:rsid w:val="00F90C39"/>
    <w:rsid w:val="00F92505"/>
    <w:rsid w:val="00F938B4"/>
    <w:rsid w:val="00F9569D"/>
    <w:rsid w:val="00FC2290"/>
    <w:rsid w:val="00FD5083"/>
    <w:rsid w:val="00FE3940"/>
    <w:rsid w:val="012068DC"/>
    <w:rsid w:val="013A4C29"/>
    <w:rsid w:val="015B2A58"/>
    <w:rsid w:val="019A5C92"/>
    <w:rsid w:val="019B5F32"/>
    <w:rsid w:val="02287823"/>
    <w:rsid w:val="02326179"/>
    <w:rsid w:val="02816F6D"/>
    <w:rsid w:val="02A11A74"/>
    <w:rsid w:val="02D42CE7"/>
    <w:rsid w:val="02F328D2"/>
    <w:rsid w:val="0305689B"/>
    <w:rsid w:val="032B2885"/>
    <w:rsid w:val="0336416C"/>
    <w:rsid w:val="035720DB"/>
    <w:rsid w:val="03F11259"/>
    <w:rsid w:val="044626C6"/>
    <w:rsid w:val="04A22688"/>
    <w:rsid w:val="050B19EA"/>
    <w:rsid w:val="054C3FA1"/>
    <w:rsid w:val="056E02C2"/>
    <w:rsid w:val="05786B12"/>
    <w:rsid w:val="057D7DAE"/>
    <w:rsid w:val="05AC0E53"/>
    <w:rsid w:val="05C14E02"/>
    <w:rsid w:val="05D7365E"/>
    <w:rsid w:val="05F637B3"/>
    <w:rsid w:val="064F7497"/>
    <w:rsid w:val="066140B5"/>
    <w:rsid w:val="067318BF"/>
    <w:rsid w:val="068D2973"/>
    <w:rsid w:val="06C4658A"/>
    <w:rsid w:val="06EE45A0"/>
    <w:rsid w:val="070E3CC6"/>
    <w:rsid w:val="076E33CC"/>
    <w:rsid w:val="077F1A41"/>
    <w:rsid w:val="08094916"/>
    <w:rsid w:val="08525320"/>
    <w:rsid w:val="08553DE1"/>
    <w:rsid w:val="08590A19"/>
    <w:rsid w:val="08AD3D75"/>
    <w:rsid w:val="08C00724"/>
    <w:rsid w:val="08E07EAE"/>
    <w:rsid w:val="08EC40C6"/>
    <w:rsid w:val="08EC4D2C"/>
    <w:rsid w:val="0A115355"/>
    <w:rsid w:val="0A17263F"/>
    <w:rsid w:val="0A3124AF"/>
    <w:rsid w:val="0A60265A"/>
    <w:rsid w:val="0ABF522B"/>
    <w:rsid w:val="0AE126B1"/>
    <w:rsid w:val="0AE53521"/>
    <w:rsid w:val="0B107766"/>
    <w:rsid w:val="0B16329C"/>
    <w:rsid w:val="0B6C65F3"/>
    <w:rsid w:val="0BDB6BE3"/>
    <w:rsid w:val="0C6C257B"/>
    <w:rsid w:val="0CC30D7B"/>
    <w:rsid w:val="0CD93954"/>
    <w:rsid w:val="0CDD13E8"/>
    <w:rsid w:val="0D057F1B"/>
    <w:rsid w:val="0D0858E5"/>
    <w:rsid w:val="0D7D6A23"/>
    <w:rsid w:val="0DC202A2"/>
    <w:rsid w:val="0DDB6CB5"/>
    <w:rsid w:val="0DE52196"/>
    <w:rsid w:val="0E046C58"/>
    <w:rsid w:val="0E08768F"/>
    <w:rsid w:val="0E2B2CBE"/>
    <w:rsid w:val="0E6F32B6"/>
    <w:rsid w:val="0E860F42"/>
    <w:rsid w:val="0E8C34CC"/>
    <w:rsid w:val="0EB12D6B"/>
    <w:rsid w:val="0EFF3378"/>
    <w:rsid w:val="0F107C30"/>
    <w:rsid w:val="0F206345"/>
    <w:rsid w:val="0F231C09"/>
    <w:rsid w:val="0F2D39C8"/>
    <w:rsid w:val="0FB20604"/>
    <w:rsid w:val="0FCE0F94"/>
    <w:rsid w:val="0FFB700C"/>
    <w:rsid w:val="0FFEC43F"/>
    <w:rsid w:val="10367805"/>
    <w:rsid w:val="10887A7A"/>
    <w:rsid w:val="108A7D44"/>
    <w:rsid w:val="109C0216"/>
    <w:rsid w:val="110F4178"/>
    <w:rsid w:val="112C5F44"/>
    <w:rsid w:val="11442CFD"/>
    <w:rsid w:val="11581D14"/>
    <w:rsid w:val="11940CDB"/>
    <w:rsid w:val="119B6533"/>
    <w:rsid w:val="11E565F9"/>
    <w:rsid w:val="11EA6337"/>
    <w:rsid w:val="11F91E5B"/>
    <w:rsid w:val="12427BE1"/>
    <w:rsid w:val="1244091C"/>
    <w:rsid w:val="12954E57"/>
    <w:rsid w:val="12956ADB"/>
    <w:rsid w:val="12C37CD0"/>
    <w:rsid w:val="12E175BD"/>
    <w:rsid w:val="12FD05BC"/>
    <w:rsid w:val="13226A86"/>
    <w:rsid w:val="132624CF"/>
    <w:rsid w:val="138C7E28"/>
    <w:rsid w:val="138D53A2"/>
    <w:rsid w:val="13B74615"/>
    <w:rsid w:val="13E149B3"/>
    <w:rsid w:val="14186859"/>
    <w:rsid w:val="14673A00"/>
    <w:rsid w:val="14970BA7"/>
    <w:rsid w:val="14D65310"/>
    <w:rsid w:val="14EA6921"/>
    <w:rsid w:val="15336F17"/>
    <w:rsid w:val="15934032"/>
    <w:rsid w:val="15B92963"/>
    <w:rsid w:val="160E112B"/>
    <w:rsid w:val="16805704"/>
    <w:rsid w:val="1684092B"/>
    <w:rsid w:val="169A0E10"/>
    <w:rsid w:val="16DE081F"/>
    <w:rsid w:val="17454E43"/>
    <w:rsid w:val="1765695E"/>
    <w:rsid w:val="17CC16B9"/>
    <w:rsid w:val="17DF855E"/>
    <w:rsid w:val="17E56C78"/>
    <w:rsid w:val="17ED5281"/>
    <w:rsid w:val="17F65CB2"/>
    <w:rsid w:val="18130842"/>
    <w:rsid w:val="18260D3F"/>
    <w:rsid w:val="18721C8E"/>
    <w:rsid w:val="18967715"/>
    <w:rsid w:val="18B52E6B"/>
    <w:rsid w:val="190926D9"/>
    <w:rsid w:val="19207035"/>
    <w:rsid w:val="19283941"/>
    <w:rsid w:val="19A30D92"/>
    <w:rsid w:val="1A0E2858"/>
    <w:rsid w:val="1A276A12"/>
    <w:rsid w:val="1A62640E"/>
    <w:rsid w:val="1A8A12D3"/>
    <w:rsid w:val="1ABB45EE"/>
    <w:rsid w:val="1ADBD9CE"/>
    <w:rsid w:val="1B591BF9"/>
    <w:rsid w:val="1B71509C"/>
    <w:rsid w:val="1B8E37BF"/>
    <w:rsid w:val="1B9A37A8"/>
    <w:rsid w:val="1BB43742"/>
    <w:rsid w:val="1BCA752D"/>
    <w:rsid w:val="1BEF401A"/>
    <w:rsid w:val="1C06586F"/>
    <w:rsid w:val="1C3A2D16"/>
    <w:rsid w:val="1C40621C"/>
    <w:rsid w:val="1C552442"/>
    <w:rsid w:val="1C5A04B9"/>
    <w:rsid w:val="1C8D2031"/>
    <w:rsid w:val="1CE407B5"/>
    <w:rsid w:val="1CE7340E"/>
    <w:rsid w:val="1D6087A5"/>
    <w:rsid w:val="1D6E7C24"/>
    <w:rsid w:val="1D8806F3"/>
    <w:rsid w:val="1D9D4A83"/>
    <w:rsid w:val="1DC26926"/>
    <w:rsid w:val="1DD04183"/>
    <w:rsid w:val="1E1B7086"/>
    <w:rsid w:val="1E224DCB"/>
    <w:rsid w:val="1E4B3009"/>
    <w:rsid w:val="1E863058"/>
    <w:rsid w:val="1EA7DE26"/>
    <w:rsid w:val="1ED22D65"/>
    <w:rsid w:val="1EDD0DF2"/>
    <w:rsid w:val="1EFF678F"/>
    <w:rsid w:val="1F50656B"/>
    <w:rsid w:val="1F7B6139"/>
    <w:rsid w:val="1FBE3AD5"/>
    <w:rsid w:val="1FD35336"/>
    <w:rsid w:val="1FEE50B5"/>
    <w:rsid w:val="20517A31"/>
    <w:rsid w:val="20653F23"/>
    <w:rsid w:val="206D7709"/>
    <w:rsid w:val="209713EC"/>
    <w:rsid w:val="209B2AD5"/>
    <w:rsid w:val="209E4621"/>
    <w:rsid w:val="20AC26E2"/>
    <w:rsid w:val="214909CD"/>
    <w:rsid w:val="21687575"/>
    <w:rsid w:val="22326B4E"/>
    <w:rsid w:val="22824CEB"/>
    <w:rsid w:val="22BA60B9"/>
    <w:rsid w:val="23123160"/>
    <w:rsid w:val="231C41BC"/>
    <w:rsid w:val="23345D5E"/>
    <w:rsid w:val="23375CB5"/>
    <w:rsid w:val="23714FBF"/>
    <w:rsid w:val="238962D6"/>
    <w:rsid w:val="23BB7C29"/>
    <w:rsid w:val="24521524"/>
    <w:rsid w:val="24567326"/>
    <w:rsid w:val="24AD7C07"/>
    <w:rsid w:val="24E15F05"/>
    <w:rsid w:val="251804B1"/>
    <w:rsid w:val="25194AEC"/>
    <w:rsid w:val="257C03C2"/>
    <w:rsid w:val="25C12A5E"/>
    <w:rsid w:val="26191F4D"/>
    <w:rsid w:val="261F140C"/>
    <w:rsid w:val="263A0A57"/>
    <w:rsid w:val="263A76E0"/>
    <w:rsid w:val="263D4F72"/>
    <w:rsid w:val="266D6BD6"/>
    <w:rsid w:val="267740F0"/>
    <w:rsid w:val="268D37D5"/>
    <w:rsid w:val="272B4D52"/>
    <w:rsid w:val="276C5569"/>
    <w:rsid w:val="27874BC5"/>
    <w:rsid w:val="27986F4F"/>
    <w:rsid w:val="27DC1417"/>
    <w:rsid w:val="27EE64C4"/>
    <w:rsid w:val="288D09C9"/>
    <w:rsid w:val="28BE108D"/>
    <w:rsid w:val="28CF235E"/>
    <w:rsid w:val="28D246BD"/>
    <w:rsid w:val="29246D16"/>
    <w:rsid w:val="29B2188B"/>
    <w:rsid w:val="29B760BD"/>
    <w:rsid w:val="2A12419D"/>
    <w:rsid w:val="2A77A248"/>
    <w:rsid w:val="2A8C04A1"/>
    <w:rsid w:val="2A9F1EA2"/>
    <w:rsid w:val="2AA44936"/>
    <w:rsid w:val="2ADE78BD"/>
    <w:rsid w:val="2AE403A5"/>
    <w:rsid w:val="2B8A7A8C"/>
    <w:rsid w:val="2BDA3477"/>
    <w:rsid w:val="2BFF0049"/>
    <w:rsid w:val="2C451EAF"/>
    <w:rsid w:val="2C964526"/>
    <w:rsid w:val="2CA25B63"/>
    <w:rsid w:val="2CBF33FB"/>
    <w:rsid w:val="2CCB6219"/>
    <w:rsid w:val="2D1361F3"/>
    <w:rsid w:val="2D196EF8"/>
    <w:rsid w:val="2D2C6899"/>
    <w:rsid w:val="2D436AF5"/>
    <w:rsid w:val="2D6D3B3C"/>
    <w:rsid w:val="2D8A1BD9"/>
    <w:rsid w:val="2DDF0C3C"/>
    <w:rsid w:val="2DE3371C"/>
    <w:rsid w:val="2E142791"/>
    <w:rsid w:val="2E5C653D"/>
    <w:rsid w:val="2E7F413E"/>
    <w:rsid w:val="2E837916"/>
    <w:rsid w:val="2ED24FAB"/>
    <w:rsid w:val="2EEA6DC9"/>
    <w:rsid w:val="2EF16139"/>
    <w:rsid w:val="2EFA3FA5"/>
    <w:rsid w:val="2EFE887A"/>
    <w:rsid w:val="2F49380D"/>
    <w:rsid w:val="2F57F67F"/>
    <w:rsid w:val="2F6D720A"/>
    <w:rsid w:val="2F774FD0"/>
    <w:rsid w:val="2F7FCA37"/>
    <w:rsid w:val="2F803A33"/>
    <w:rsid w:val="2F8B0801"/>
    <w:rsid w:val="2F93289C"/>
    <w:rsid w:val="2FD619C4"/>
    <w:rsid w:val="2FD7B665"/>
    <w:rsid w:val="2FFDB4B8"/>
    <w:rsid w:val="2FFE9E32"/>
    <w:rsid w:val="30792C63"/>
    <w:rsid w:val="30BF6E49"/>
    <w:rsid w:val="30DF76ED"/>
    <w:rsid w:val="311D5876"/>
    <w:rsid w:val="316E5399"/>
    <w:rsid w:val="31942C1F"/>
    <w:rsid w:val="31B02A6F"/>
    <w:rsid w:val="31C51EA3"/>
    <w:rsid w:val="31E817F0"/>
    <w:rsid w:val="31F7308B"/>
    <w:rsid w:val="32484E73"/>
    <w:rsid w:val="324C18FD"/>
    <w:rsid w:val="326236E0"/>
    <w:rsid w:val="32836814"/>
    <w:rsid w:val="32A150BA"/>
    <w:rsid w:val="332042A9"/>
    <w:rsid w:val="333937E3"/>
    <w:rsid w:val="335C4FBB"/>
    <w:rsid w:val="339D0898"/>
    <w:rsid w:val="33E40539"/>
    <w:rsid w:val="33E84753"/>
    <w:rsid w:val="344443E7"/>
    <w:rsid w:val="349440F1"/>
    <w:rsid w:val="34AD7A49"/>
    <w:rsid w:val="34D50C70"/>
    <w:rsid w:val="34D70A16"/>
    <w:rsid w:val="35225817"/>
    <w:rsid w:val="35470C59"/>
    <w:rsid w:val="35A367B5"/>
    <w:rsid w:val="35CF6CCD"/>
    <w:rsid w:val="35D44DB1"/>
    <w:rsid w:val="35D86090"/>
    <w:rsid w:val="35EF8AAA"/>
    <w:rsid w:val="36002B83"/>
    <w:rsid w:val="36086684"/>
    <w:rsid w:val="36453E35"/>
    <w:rsid w:val="36461CCC"/>
    <w:rsid w:val="369512A0"/>
    <w:rsid w:val="36AA4029"/>
    <w:rsid w:val="37203755"/>
    <w:rsid w:val="374E7049"/>
    <w:rsid w:val="375B03B3"/>
    <w:rsid w:val="37906F3A"/>
    <w:rsid w:val="37AF684C"/>
    <w:rsid w:val="37D66892"/>
    <w:rsid w:val="37D77140"/>
    <w:rsid w:val="37E9E0AE"/>
    <w:rsid w:val="37F73DDA"/>
    <w:rsid w:val="37FB209B"/>
    <w:rsid w:val="38202434"/>
    <w:rsid w:val="383A146B"/>
    <w:rsid w:val="384C5448"/>
    <w:rsid w:val="385153C7"/>
    <w:rsid w:val="389B1FFB"/>
    <w:rsid w:val="38C45733"/>
    <w:rsid w:val="38DA76A6"/>
    <w:rsid w:val="38F64830"/>
    <w:rsid w:val="395919DD"/>
    <w:rsid w:val="39A82479"/>
    <w:rsid w:val="39C20429"/>
    <w:rsid w:val="39C21120"/>
    <w:rsid w:val="39DDF945"/>
    <w:rsid w:val="39FD5D62"/>
    <w:rsid w:val="3A12155A"/>
    <w:rsid w:val="3A184911"/>
    <w:rsid w:val="3A24193B"/>
    <w:rsid w:val="3A661545"/>
    <w:rsid w:val="3A7E31BF"/>
    <w:rsid w:val="3AE15C2A"/>
    <w:rsid w:val="3B0E7770"/>
    <w:rsid w:val="3B752633"/>
    <w:rsid w:val="3B864A79"/>
    <w:rsid w:val="3BBA1074"/>
    <w:rsid w:val="3BBA54A2"/>
    <w:rsid w:val="3BC94E33"/>
    <w:rsid w:val="3C205D52"/>
    <w:rsid w:val="3C5D635D"/>
    <w:rsid w:val="3C6843AC"/>
    <w:rsid w:val="3C823C30"/>
    <w:rsid w:val="3CD92DC4"/>
    <w:rsid w:val="3CD95CBD"/>
    <w:rsid w:val="3D876A22"/>
    <w:rsid w:val="3DB78741"/>
    <w:rsid w:val="3DFB3A35"/>
    <w:rsid w:val="3E752B92"/>
    <w:rsid w:val="3EAC2897"/>
    <w:rsid w:val="3ED496E2"/>
    <w:rsid w:val="3ED5453E"/>
    <w:rsid w:val="3ED8EBE8"/>
    <w:rsid w:val="3EEAE0CE"/>
    <w:rsid w:val="3EEF9B50"/>
    <w:rsid w:val="3EF6D1E0"/>
    <w:rsid w:val="3EFA3B68"/>
    <w:rsid w:val="3EFED85C"/>
    <w:rsid w:val="3EFF3CBC"/>
    <w:rsid w:val="3EFF9077"/>
    <w:rsid w:val="3F0577BF"/>
    <w:rsid w:val="3F3D7DF0"/>
    <w:rsid w:val="3F4D1FBF"/>
    <w:rsid w:val="3F6EAFED"/>
    <w:rsid w:val="3F8D06E5"/>
    <w:rsid w:val="3F97E6DE"/>
    <w:rsid w:val="3F9F7210"/>
    <w:rsid w:val="3FA7595A"/>
    <w:rsid w:val="3FB7CCF8"/>
    <w:rsid w:val="3FCE85E8"/>
    <w:rsid w:val="3FDDA8D9"/>
    <w:rsid w:val="3FE7BEB6"/>
    <w:rsid w:val="3FEFE1BA"/>
    <w:rsid w:val="3FF794CC"/>
    <w:rsid w:val="3FFD2B77"/>
    <w:rsid w:val="3FFED686"/>
    <w:rsid w:val="40BA58F0"/>
    <w:rsid w:val="41824983"/>
    <w:rsid w:val="419273A3"/>
    <w:rsid w:val="41D60779"/>
    <w:rsid w:val="41EA33D4"/>
    <w:rsid w:val="425E411F"/>
    <w:rsid w:val="42A4661A"/>
    <w:rsid w:val="43043C43"/>
    <w:rsid w:val="43213FCB"/>
    <w:rsid w:val="43282562"/>
    <w:rsid w:val="434674C6"/>
    <w:rsid w:val="439A28BA"/>
    <w:rsid w:val="43AB1C1C"/>
    <w:rsid w:val="443278A5"/>
    <w:rsid w:val="445A3E9E"/>
    <w:rsid w:val="44BE541F"/>
    <w:rsid w:val="45143CD5"/>
    <w:rsid w:val="4523065D"/>
    <w:rsid w:val="454B5D64"/>
    <w:rsid w:val="459F4581"/>
    <w:rsid w:val="45B11BC1"/>
    <w:rsid w:val="45C55E04"/>
    <w:rsid w:val="45FE3D94"/>
    <w:rsid w:val="46274255"/>
    <w:rsid w:val="4628262E"/>
    <w:rsid w:val="46AA64F1"/>
    <w:rsid w:val="46C4510F"/>
    <w:rsid w:val="46F956A0"/>
    <w:rsid w:val="47416045"/>
    <w:rsid w:val="47624AA6"/>
    <w:rsid w:val="47AE5EA8"/>
    <w:rsid w:val="47E47729"/>
    <w:rsid w:val="47E90F35"/>
    <w:rsid w:val="483259F4"/>
    <w:rsid w:val="486C0DC8"/>
    <w:rsid w:val="48FB174E"/>
    <w:rsid w:val="491479E5"/>
    <w:rsid w:val="493B142F"/>
    <w:rsid w:val="497F56AD"/>
    <w:rsid w:val="498D2DED"/>
    <w:rsid w:val="49966C4E"/>
    <w:rsid w:val="499A0DB5"/>
    <w:rsid w:val="499D4964"/>
    <w:rsid w:val="49B2F93C"/>
    <w:rsid w:val="4A00199F"/>
    <w:rsid w:val="4A6E1366"/>
    <w:rsid w:val="4A7253F8"/>
    <w:rsid w:val="4A816916"/>
    <w:rsid w:val="4A853EBA"/>
    <w:rsid w:val="4AC13D74"/>
    <w:rsid w:val="4AD83A46"/>
    <w:rsid w:val="4AFE75A3"/>
    <w:rsid w:val="4B121ED2"/>
    <w:rsid w:val="4B5353B7"/>
    <w:rsid w:val="4B7B6D55"/>
    <w:rsid w:val="4BA814E0"/>
    <w:rsid w:val="4BBE6F55"/>
    <w:rsid w:val="4BC246E8"/>
    <w:rsid w:val="4BCB0653"/>
    <w:rsid w:val="4BDD7A5F"/>
    <w:rsid w:val="4C1945C0"/>
    <w:rsid w:val="4C3F18EB"/>
    <w:rsid w:val="4CA26164"/>
    <w:rsid w:val="4CB85ED4"/>
    <w:rsid w:val="4CF7220E"/>
    <w:rsid w:val="4D330579"/>
    <w:rsid w:val="4D3B0C43"/>
    <w:rsid w:val="4D516481"/>
    <w:rsid w:val="4D5DF814"/>
    <w:rsid w:val="4D77E4E6"/>
    <w:rsid w:val="4DB85E24"/>
    <w:rsid w:val="4DCB18B3"/>
    <w:rsid w:val="4E086B91"/>
    <w:rsid w:val="4E225A89"/>
    <w:rsid w:val="4E78472B"/>
    <w:rsid w:val="4E94077C"/>
    <w:rsid w:val="4EB11B1C"/>
    <w:rsid w:val="4EBF0D77"/>
    <w:rsid w:val="4EEF4806"/>
    <w:rsid w:val="4EFD5CF0"/>
    <w:rsid w:val="4F046221"/>
    <w:rsid w:val="4F39740C"/>
    <w:rsid w:val="4F69FEEA"/>
    <w:rsid w:val="4F77FF15"/>
    <w:rsid w:val="4F7FD93A"/>
    <w:rsid w:val="4F841056"/>
    <w:rsid w:val="4F8E04D3"/>
    <w:rsid w:val="4FBE7875"/>
    <w:rsid w:val="4FF1CB39"/>
    <w:rsid w:val="4FFB165F"/>
    <w:rsid w:val="4FFF5FBE"/>
    <w:rsid w:val="4FFFEAD4"/>
    <w:rsid w:val="501B0C54"/>
    <w:rsid w:val="507916C7"/>
    <w:rsid w:val="509E50DE"/>
    <w:rsid w:val="50AA399E"/>
    <w:rsid w:val="50C57BB1"/>
    <w:rsid w:val="50F64B80"/>
    <w:rsid w:val="51090644"/>
    <w:rsid w:val="511E2F53"/>
    <w:rsid w:val="51640E62"/>
    <w:rsid w:val="5171547E"/>
    <w:rsid w:val="51790295"/>
    <w:rsid w:val="517F2481"/>
    <w:rsid w:val="520B079D"/>
    <w:rsid w:val="520C7E02"/>
    <w:rsid w:val="52131F7F"/>
    <w:rsid w:val="522B0E4C"/>
    <w:rsid w:val="522C39C3"/>
    <w:rsid w:val="5234280B"/>
    <w:rsid w:val="526E0AF7"/>
    <w:rsid w:val="52F919BE"/>
    <w:rsid w:val="534B3211"/>
    <w:rsid w:val="5353498D"/>
    <w:rsid w:val="53655729"/>
    <w:rsid w:val="53A472F8"/>
    <w:rsid w:val="53AE2415"/>
    <w:rsid w:val="53D720D5"/>
    <w:rsid w:val="53E2242A"/>
    <w:rsid w:val="540B0BCE"/>
    <w:rsid w:val="543F759F"/>
    <w:rsid w:val="544C21B1"/>
    <w:rsid w:val="545057ED"/>
    <w:rsid w:val="545C36D0"/>
    <w:rsid w:val="54803D19"/>
    <w:rsid w:val="548A7F87"/>
    <w:rsid w:val="55253F42"/>
    <w:rsid w:val="553B0FCD"/>
    <w:rsid w:val="557C047E"/>
    <w:rsid w:val="559646EA"/>
    <w:rsid w:val="55B16318"/>
    <w:rsid w:val="55BF3A13"/>
    <w:rsid w:val="55D72885"/>
    <w:rsid w:val="56351D97"/>
    <w:rsid w:val="56AD17E5"/>
    <w:rsid w:val="56DA2178"/>
    <w:rsid w:val="56EE3E38"/>
    <w:rsid w:val="574E3D06"/>
    <w:rsid w:val="575467B8"/>
    <w:rsid w:val="57B9CB99"/>
    <w:rsid w:val="57BF4928"/>
    <w:rsid w:val="57CD4FCE"/>
    <w:rsid w:val="57E79900"/>
    <w:rsid w:val="57EE5D1B"/>
    <w:rsid w:val="57F90002"/>
    <w:rsid w:val="58054933"/>
    <w:rsid w:val="580A51A0"/>
    <w:rsid w:val="58634812"/>
    <w:rsid w:val="588C073F"/>
    <w:rsid w:val="593173D6"/>
    <w:rsid w:val="599A20FD"/>
    <w:rsid w:val="59AC0FAF"/>
    <w:rsid w:val="59B93FCE"/>
    <w:rsid w:val="59C33955"/>
    <w:rsid w:val="59DFC563"/>
    <w:rsid w:val="59F44746"/>
    <w:rsid w:val="5A3B6D74"/>
    <w:rsid w:val="5A44558A"/>
    <w:rsid w:val="5A5B5324"/>
    <w:rsid w:val="5A8150C6"/>
    <w:rsid w:val="5A827E6E"/>
    <w:rsid w:val="5AA12B28"/>
    <w:rsid w:val="5AA30C1D"/>
    <w:rsid w:val="5AC4427E"/>
    <w:rsid w:val="5AFE9E90"/>
    <w:rsid w:val="5B0E6E73"/>
    <w:rsid w:val="5B301000"/>
    <w:rsid w:val="5B576C22"/>
    <w:rsid w:val="5B5F5F28"/>
    <w:rsid w:val="5B620C0D"/>
    <w:rsid w:val="5B754251"/>
    <w:rsid w:val="5B946BB4"/>
    <w:rsid w:val="5BBFB158"/>
    <w:rsid w:val="5BCD2C72"/>
    <w:rsid w:val="5BCD3F68"/>
    <w:rsid w:val="5BD462C2"/>
    <w:rsid w:val="5BF52287"/>
    <w:rsid w:val="5BF76E2E"/>
    <w:rsid w:val="5BF9E94F"/>
    <w:rsid w:val="5BFCB7B6"/>
    <w:rsid w:val="5BFFD4BA"/>
    <w:rsid w:val="5C0957C0"/>
    <w:rsid w:val="5C1B1060"/>
    <w:rsid w:val="5C3C453C"/>
    <w:rsid w:val="5C7B0AFF"/>
    <w:rsid w:val="5C93768B"/>
    <w:rsid w:val="5C99662F"/>
    <w:rsid w:val="5C9F3645"/>
    <w:rsid w:val="5CB724AC"/>
    <w:rsid w:val="5CDE4235"/>
    <w:rsid w:val="5D7F87D1"/>
    <w:rsid w:val="5D9FB510"/>
    <w:rsid w:val="5DA32EA9"/>
    <w:rsid w:val="5DB40721"/>
    <w:rsid w:val="5DBE01DB"/>
    <w:rsid w:val="5DF3B1A0"/>
    <w:rsid w:val="5DF7F95E"/>
    <w:rsid w:val="5E7C433E"/>
    <w:rsid w:val="5E8FFB8B"/>
    <w:rsid w:val="5ECF0397"/>
    <w:rsid w:val="5EECF010"/>
    <w:rsid w:val="5EED681F"/>
    <w:rsid w:val="5EEF1C78"/>
    <w:rsid w:val="5EFA7CCD"/>
    <w:rsid w:val="5EFF29B0"/>
    <w:rsid w:val="5F2E3F78"/>
    <w:rsid w:val="5F341E9E"/>
    <w:rsid w:val="5F345859"/>
    <w:rsid w:val="5F926E3A"/>
    <w:rsid w:val="5F9DC7CE"/>
    <w:rsid w:val="5FAD2622"/>
    <w:rsid w:val="5FBC1D6D"/>
    <w:rsid w:val="5FDC2CA4"/>
    <w:rsid w:val="5FE3C118"/>
    <w:rsid w:val="5FEDBEE4"/>
    <w:rsid w:val="5FEF9793"/>
    <w:rsid w:val="5FF5059C"/>
    <w:rsid w:val="5FF6C151"/>
    <w:rsid w:val="5FF81B4D"/>
    <w:rsid w:val="5FFAFE9F"/>
    <w:rsid w:val="5FFDC13D"/>
    <w:rsid w:val="5FFFE091"/>
    <w:rsid w:val="5FFFF2FB"/>
    <w:rsid w:val="602E70CB"/>
    <w:rsid w:val="60526FC6"/>
    <w:rsid w:val="609D2DEB"/>
    <w:rsid w:val="60D53E08"/>
    <w:rsid w:val="60E07697"/>
    <w:rsid w:val="611A08D8"/>
    <w:rsid w:val="61576807"/>
    <w:rsid w:val="615C6718"/>
    <w:rsid w:val="62B92583"/>
    <w:rsid w:val="62F47820"/>
    <w:rsid w:val="62F779D7"/>
    <w:rsid w:val="63092B54"/>
    <w:rsid w:val="6310725C"/>
    <w:rsid w:val="634112F3"/>
    <w:rsid w:val="63487B44"/>
    <w:rsid w:val="63744EA4"/>
    <w:rsid w:val="6383775E"/>
    <w:rsid w:val="643B223F"/>
    <w:rsid w:val="64786D15"/>
    <w:rsid w:val="64850601"/>
    <w:rsid w:val="64AE6C36"/>
    <w:rsid w:val="64B2601E"/>
    <w:rsid w:val="6501700E"/>
    <w:rsid w:val="655BE48D"/>
    <w:rsid w:val="655E2FD4"/>
    <w:rsid w:val="65624A3A"/>
    <w:rsid w:val="65AD120F"/>
    <w:rsid w:val="65B01722"/>
    <w:rsid w:val="66004B22"/>
    <w:rsid w:val="662609B5"/>
    <w:rsid w:val="666B3313"/>
    <w:rsid w:val="66793755"/>
    <w:rsid w:val="66F736AC"/>
    <w:rsid w:val="670C3D1C"/>
    <w:rsid w:val="670D6DF2"/>
    <w:rsid w:val="671B3212"/>
    <w:rsid w:val="67545C3F"/>
    <w:rsid w:val="677F2A4D"/>
    <w:rsid w:val="677F4E5F"/>
    <w:rsid w:val="67A28B59"/>
    <w:rsid w:val="67A740B3"/>
    <w:rsid w:val="67C647FE"/>
    <w:rsid w:val="67D00796"/>
    <w:rsid w:val="67DE5B2B"/>
    <w:rsid w:val="67EF52F0"/>
    <w:rsid w:val="682664CA"/>
    <w:rsid w:val="68337F29"/>
    <w:rsid w:val="68392E2A"/>
    <w:rsid w:val="68A4357F"/>
    <w:rsid w:val="68A55758"/>
    <w:rsid w:val="68AC50E7"/>
    <w:rsid w:val="68B71D98"/>
    <w:rsid w:val="68F7C469"/>
    <w:rsid w:val="6939B3D4"/>
    <w:rsid w:val="69A837BE"/>
    <w:rsid w:val="69AC1417"/>
    <w:rsid w:val="69B278D9"/>
    <w:rsid w:val="69DE1757"/>
    <w:rsid w:val="69DE92D9"/>
    <w:rsid w:val="69FF0ED5"/>
    <w:rsid w:val="6A0026C3"/>
    <w:rsid w:val="6A03454D"/>
    <w:rsid w:val="6A561E9A"/>
    <w:rsid w:val="6A692DB3"/>
    <w:rsid w:val="6AB24402"/>
    <w:rsid w:val="6AC14FE6"/>
    <w:rsid w:val="6AC61262"/>
    <w:rsid w:val="6B510A5D"/>
    <w:rsid w:val="6B9C4E99"/>
    <w:rsid w:val="6BD41686"/>
    <w:rsid w:val="6BFDFB92"/>
    <w:rsid w:val="6C4C6F56"/>
    <w:rsid w:val="6C7F7266"/>
    <w:rsid w:val="6C89374E"/>
    <w:rsid w:val="6C9A1EC1"/>
    <w:rsid w:val="6CF192E8"/>
    <w:rsid w:val="6CF82726"/>
    <w:rsid w:val="6CFC2F05"/>
    <w:rsid w:val="6D3D4938"/>
    <w:rsid w:val="6D445A59"/>
    <w:rsid w:val="6D570056"/>
    <w:rsid w:val="6D5B6D1A"/>
    <w:rsid w:val="6D6FB71A"/>
    <w:rsid w:val="6D7F60A0"/>
    <w:rsid w:val="6DA579D7"/>
    <w:rsid w:val="6DBE488E"/>
    <w:rsid w:val="6DE41AB9"/>
    <w:rsid w:val="6DF37D70"/>
    <w:rsid w:val="6DF9E57A"/>
    <w:rsid w:val="6DFA11E6"/>
    <w:rsid w:val="6E0A1D7C"/>
    <w:rsid w:val="6E3A63EA"/>
    <w:rsid w:val="6E6F15B7"/>
    <w:rsid w:val="6EA81AE2"/>
    <w:rsid w:val="6EDF23C8"/>
    <w:rsid w:val="6EF1CCDA"/>
    <w:rsid w:val="6F2C4620"/>
    <w:rsid w:val="6F3F68DE"/>
    <w:rsid w:val="6F43D54B"/>
    <w:rsid w:val="6F9018E0"/>
    <w:rsid w:val="6F94468B"/>
    <w:rsid w:val="6F9F410C"/>
    <w:rsid w:val="6FAD1803"/>
    <w:rsid w:val="6FBE4490"/>
    <w:rsid w:val="6FBFD577"/>
    <w:rsid w:val="6FC8084E"/>
    <w:rsid w:val="6FDFAA0F"/>
    <w:rsid w:val="6FDFFCDF"/>
    <w:rsid w:val="6FFD64DF"/>
    <w:rsid w:val="6FFE0B09"/>
    <w:rsid w:val="6FFEAE72"/>
    <w:rsid w:val="6FFF46D2"/>
    <w:rsid w:val="70141037"/>
    <w:rsid w:val="702130B7"/>
    <w:rsid w:val="70294272"/>
    <w:rsid w:val="704D1B7C"/>
    <w:rsid w:val="708B5F11"/>
    <w:rsid w:val="709C4299"/>
    <w:rsid w:val="70A41EEE"/>
    <w:rsid w:val="70A549B5"/>
    <w:rsid w:val="70E51D87"/>
    <w:rsid w:val="70EE2605"/>
    <w:rsid w:val="711968FF"/>
    <w:rsid w:val="711E62D9"/>
    <w:rsid w:val="714416D2"/>
    <w:rsid w:val="71CF8589"/>
    <w:rsid w:val="722901BE"/>
    <w:rsid w:val="725427BF"/>
    <w:rsid w:val="727F0041"/>
    <w:rsid w:val="72E02BD1"/>
    <w:rsid w:val="72F653A4"/>
    <w:rsid w:val="72F933FD"/>
    <w:rsid w:val="72FD542B"/>
    <w:rsid w:val="730B31B8"/>
    <w:rsid w:val="7324089A"/>
    <w:rsid w:val="733E7401"/>
    <w:rsid w:val="73432836"/>
    <w:rsid w:val="735F892F"/>
    <w:rsid w:val="739E215F"/>
    <w:rsid w:val="73B968C8"/>
    <w:rsid w:val="73C5608C"/>
    <w:rsid w:val="73D8234E"/>
    <w:rsid w:val="73FD2C82"/>
    <w:rsid w:val="73FE6D7B"/>
    <w:rsid w:val="74523024"/>
    <w:rsid w:val="7483193C"/>
    <w:rsid w:val="749519B2"/>
    <w:rsid w:val="74973D99"/>
    <w:rsid w:val="74FF9CC9"/>
    <w:rsid w:val="75004EF2"/>
    <w:rsid w:val="75654833"/>
    <w:rsid w:val="7569732D"/>
    <w:rsid w:val="756F28C4"/>
    <w:rsid w:val="758673F5"/>
    <w:rsid w:val="758A2205"/>
    <w:rsid w:val="75B67DEA"/>
    <w:rsid w:val="75F25875"/>
    <w:rsid w:val="75F40EB7"/>
    <w:rsid w:val="7666A729"/>
    <w:rsid w:val="768F11E8"/>
    <w:rsid w:val="769748E9"/>
    <w:rsid w:val="769C2884"/>
    <w:rsid w:val="76A50E2B"/>
    <w:rsid w:val="76BE1F54"/>
    <w:rsid w:val="76BE49B0"/>
    <w:rsid w:val="76BF2C69"/>
    <w:rsid w:val="76F312F9"/>
    <w:rsid w:val="770FC871"/>
    <w:rsid w:val="777C8BBB"/>
    <w:rsid w:val="777F25F2"/>
    <w:rsid w:val="778B2D72"/>
    <w:rsid w:val="778C6751"/>
    <w:rsid w:val="779A01DD"/>
    <w:rsid w:val="77B41275"/>
    <w:rsid w:val="77BB67B1"/>
    <w:rsid w:val="77CDC31E"/>
    <w:rsid w:val="77E374E7"/>
    <w:rsid w:val="77ED49B8"/>
    <w:rsid w:val="77FB441A"/>
    <w:rsid w:val="77FD13ED"/>
    <w:rsid w:val="77FF22B1"/>
    <w:rsid w:val="7812685E"/>
    <w:rsid w:val="78366DBA"/>
    <w:rsid w:val="78557105"/>
    <w:rsid w:val="789A5BE2"/>
    <w:rsid w:val="78A447F5"/>
    <w:rsid w:val="78A74A05"/>
    <w:rsid w:val="78CF79C0"/>
    <w:rsid w:val="79714F65"/>
    <w:rsid w:val="797EDF12"/>
    <w:rsid w:val="797FDE4B"/>
    <w:rsid w:val="799A35BE"/>
    <w:rsid w:val="79E7452A"/>
    <w:rsid w:val="79EF2E5E"/>
    <w:rsid w:val="79FDE427"/>
    <w:rsid w:val="7A4F61C0"/>
    <w:rsid w:val="7A5B146A"/>
    <w:rsid w:val="7A5EA07D"/>
    <w:rsid w:val="7A6A6F93"/>
    <w:rsid w:val="7A7923FB"/>
    <w:rsid w:val="7A7D23DF"/>
    <w:rsid w:val="7AD5F996"/>
    <w:rsid w:val="7AE27012"/>
    <w:rsid w:val="7AE27D44"/>
    <w:rsid w:val="7AF7502C"/>
    <w:rsid w:val="7AFD75D5"/>
    <w:rsid w:val="7AFF3CF9"/>
    <w:rsid w:val="7AFFC1DC"/>
    <w:rsid w:val="7B0DCD8E"/>
    <w:rsid w:val="7B1768E1"/>
    <w:rsid w:val="7B2340F4"/>
    <w:rsid w:val="7B39EBBA"/>
    <w:rsid w:val="7B7F2455"/>
    <w:rsid w:val="7BA54EF5"/>
    <w:rsid w:val="7BAFE489"/>
    <w:rsid w:val="7BB5CAD9"/>
    <w:rsid w:val="7BB7BF73"/>
    <w:rsid w:val="7BD75FF5"/>
    <w:rsid w:val="7BE07126"/>
    <w:rsid w:val="7BF3F0EF"/>
    <w:rsid w:val="7BFDE635"/>
    <w:rsid w:val="7BFF09B3"/>
    <w:rsid w:val="7BFF7E55"/>
    <w:rsid w:val="7C6F6947"/>
    <w:rsid w:val="7C6FCF31"/>
    <w:rsid w:val="7C9B7D31"/>
    <w:rsid w:val="7CAF7D40"/>
    <w:rsid w:val="7CB81578"/>
    <w:rsid w:val="7CBB4EDB"/>
    <w:rsid w:val="7CBBC38B"/>
    <w:rsid w:val="7CDC1A6B"/>
    <w:rsid w:val="7CEBC56D"/>
    <w:rsid w:val="7CF412CA"/>
    <w:rsid w:val="7CF6D242"/>
    <w:rsid w:val="7CFC9DB5"/>
    <w:rsid w:val="7D1C0641"/>
    <w:rsid w:val="7D4D66FA"/>
    <w:rsid w:val="7D806E28"/>
    <w:rsid w:val="7D9716CD"/>
    <w:rsid w:val="7D97427E"/>
    <w:rsid w:val="7DB740E1"/>
    <w:rsid w:val="7DD595F0"/>
    <w:rsid w:val="7DDF5884"/>
    <w:rsid w:val="7DEFD99E"/>
    <w:rsid w:val="7DF22640"/>
    <w:rsid w:val="7DFB3374"/>
    <w:rsid w:val="7DFFF8B9"/>
    <w:rsid w:val="7DFFFB51"/>
    <w:rsid w:val="7E2539DA"/>
    <w:rsid w:val="7E4945F3"/>
    <w:rsid w:val="7E4B0A98"/>
    <w:rsid w:val="7E517E9B"/>
    <w:rsid w:val="7E6C0A82"/>
    <w:rsid w:val="7E7F3F92"/>
    <w:rsid w:val="7E827324"/>
    <w:rsid w:val="7E9372EC"/>
    <w:rsid w:val="7E965477"/>
    <w:rsid w:val="7E9CDDEF"/>
    <w:rsid w:val="7EAEE942"/>
    <w:rsid w:val="7EAF0F12"/>
    <w:rsid w:val="7EB80651"/>
    <w:rsid w:val="7EBA3DAC"/>
    <w:rsid w:val="7EBECD5B"/>
    <w:rsid w:val="7EBF741F"/>
    <w:rsid w:val="7EBFEC2B"/>
    <w:rsid w:val="7EED45C1"/>
    <w:rsid w:val="7EEE9FD7"/>
    <w:rsid w:val="7EEFAB6D"/>
    <w:rsid w:val="7EFF47B4"/>
    <w:rsid w:val="7EFFDAD8"/>
    <w:rsid w:val="7EFFF6E5"/>
    <w:rsid w:val="7F2C25A3"/>
    <w:rsid w:val="7F49A106"/>
    <w:rsid w:val="7F4F2995"/>
    <w:rsid w:val="7F55401F"/>
    <w:rsid w:val="7F5FDFE0"/>
    <w:rsid w:val="7F6F8967"/>
    <w:rsid w:val="7F73699F"/>
    <w:rsid w:val="7F770ABF"/>
    <w:rsid w:val="7F773B85"/>
    <w:rsid w:val="7F78730F"/>
    <w:rsid w:val="7F7FA390"/>
    <w:rsid w:val="7F861DDC"/>
    <w:rsid w:val="7F9E6749"/>
    <w:rsid w:val="7FB33F0C"/>
    <w:rsid w:val="7FB63FAC"/>
    <w:rsid w:val="7FBDD460"/>
    <w:rsid w:val="7FBFB20B"/>
    <w:rsid w:val="7FBFD602"/>
    <w:rsid w:val="7FCEC8C2"/>
    <w:rsid w:val="7FE08771"/>
    <w:rsid w:val="7FE693DF"/>
    <w:rsid w:val="7FE76444"/>
    <w:rsid w:val="7FE7F264"/>
    <w:rsid w:val="7FEF5977"/>
    <w:rsid w:val="7FEF646E"/>
    <w:rsid w:val="7FF3A578"/>
    <w:rsid w:val="7FF3BFBD"/>
    <w:rsid w:val="7FF5D5DB"/>
    <w:rsid w:val="7FF6AF7E"/>
    <w:rsid w:val="7FFA2A6C"/>
    <w:rsid w:val="7FFB60AA"/>
    <w:rsid w:val="7FFBD7F0"/>
    <w:rsid w:val="7FFD92D1"/>
    <w:rsid w:val="7FFD9CED"/>
    <w:rsid w:val="7FFF1E15"/>
    <w:rsid w:val="817F95E3"/>
    <w:rsid w:val="855A9F87"/>
    <w:rsid w:val="94BA694E"/>
    <w:rsid w:val="96FF4979"/>
    <w:rsid w:val="9B7F66C6"/>
    <w:rsid w:val="9D4B5CFF"/>
    <w:rsid w:val="9D9B176C"/>
    <w:rsid w:val="9EEEFE24"/>
    <w:rsid w:val="9FAB0FD1"/>
    <w:rsid w:val="9FBBAC54"/>
    <w:rsid w:val="A5CFA130"/>
    <w:rsid w:val="AB4F1EDD"/>
    <w:rsid w:val="AB7DE430"/>
    <w:rsid w:val="ADEF2B27"/>
    <w:rsid w:val="AE7FE10A"/>
    <w:rsid w:val="AED71B38"/>
    <w:rsid w:val="AEDE28E8"/>
    <w:rsid w:val="AEFF5956"/>
    <w:rsid w:val="AF2D021B"/>
    <w:rsid w:val="AFBB9EED"/>
    <w:rsid w:val="AFF7173E"/>
    <w:rsid w:val="B2FFF804"/>
    <w:rsid w:val="B3FA8ADE"/>
    <w:rsid w:val="B3FFF08A"/>
    <w:rsid w:val="B53FB282"/>
    <w:rsid w:val="B67C00F3"/>
    <w:rsid w:val="B73585D2"/>
    <w:rsid w:val="B7FDF74F"/>
    <w:rsid w:val="B7FFCBB5"/>
    <w:rsid w:val="B9374B95"/>
    <w:rsid w:val="B9EF5BD8"/>
    <w:rsid w:val="B9FF4C21"/>
    <w:rsid w:val="BA5286A9"/>
    <w:rsid w:val="BAED0CEF"/>
    <w:rsid w:val="BB6788BD"/>
    <w:rsid w:val="BBDF537F"/>
    <w:rsid w:val="BBDF5823"/>
    <w:rsid w:val="BBEF6449"/>
    <w:rsid w:val="BCADBAD1"/>
    <w:rsid w:val="BD5D0C6B"/>
    <w:rsid w:val="BDF6C7DD"/>
    <w:rsid w:val="BDFFEA11"/>
    <w:rsid w:val="BE7F5E3F"/>
    <w:rsid w:val="BEB808B7"/>
    <w:rsid w:val="BF9DAC48"/>
    <w:rsid w:val="BFBB5069"/>
    <w:rsid w:val="BFBE82A0"/>
    <w:rsid w:val="BFBEE650"/>
    <w:rsid w:val="BFBFFB2F"/>
    <w:rsid w:val="BFD7190A"/>
    <w:rsid w:val="BFDDD2F6"/>
    <w:rsid w:val="BFE916D4"/>
    <w:rsid w:val="BFF5DCC6"/>
    <w:rsid w:val="BFFD67D4"/>
    <w:rsid w:val="BFFF77BD"/>
    <w:rsid w:val="BFFFDB7D"/>
    <w:rsid w:val="C5F35B3A"/>
    <w:rsid w:val="CD7F3A39"/>
    <w:rsid w:val="CD8F0E03"/>
    <w:rsid w:val="CDCE36FC"/>
    <w:rsid w:val="CDCF1230"/>
    <w:rsid w:val="CDF5A96C"/>
    <w:rsid w:val="CEBFB247"/>
    <w:rsid w:val="CF35773A"/>
    <w:rsid w:val="CF96095D"/>
    <w:rsid w:val="CFFE9EBC"/>
    <w:rsid w:val="D0FF7736"/>
    <w:rsid w:val="D1FEC1AA"/>
    <w:rsid w:val="D3DA3D09"/>
    <w:rsid w:val="D615927C"/>
    <w:rsid w:val="D61D3A10"/>
    <w:rsid w:val="D7DFB8DC"/>
    <w:rsid w:val="D7E26144"/>
    <w:rsid w:val="D7FEA4BF"/>
    <w:rsid w:val="DABD5814"/>
    <w:rsid w:val="DB7375F9"/>
    <w:rsid w:val="DDEF9001"/>
    <w:rsid w:val="DDFF4C46"/>
    <w:rsid w:val="DE5D4249"/>
    <w:rsid w:val="DEFF982E"/>
    <w:rsid w:val="DF130D55"/>
    <w:rsid w:val="DF5D8105"/>
    <w:rsid w:val="DF5F3733"/>
    <w:rsid w:val="DF7BFF09"/>
    <w:rsid w:val="DF9FA741"/>
    <w:rsid w:val="DFB0E78D"/>
    <w:rsid w:val="DFBD6CD1"/>
    <w:rsid w:val="DFF6E917"/>
    <w:rsid w:val="DFF8803D"/>
    <w:rsid w:val="DFFD2C1F"/>
    <w:rsid w:val="DFFE225F"/>
    <w:rsid w:val="DFFF1A69"/>
    <w:rsid w:val="E2DEB952"/>
    <w:rsid w:val="E3A5397A"/>
    <w:rsid w:val="E3DC61B5"/>
    <w:rsid w:val="E4F77197"/>
    <w:rsid w:val="E4FE369D"/>
    <w:rsid w:val="E4FF884A"/>
    <w:rsid w:val="E5D57CBE"/>
    <w:rsid w:val="E6BF806A"/>
    <w:rsid w:val="E76F3011"/>
    <w:rsid w:val="E76FDD29"/>
    <w:rsid w:val="E7BE93B9"/>
    <w:rsid w:val="E7DF1646"/>
    <w:rsid w:val="E7FFD9A7"/>
    <w:rsid w:val="E9B9AEAF"/>
    <w:rsid w:val="E9C4CD61"/>
    <w:rsid w:val="EAC5357E"/>
    <w:rsid w:val="EAFDF910"/>
    <w:rsid w:val="EB4389FD"/>
    <w:rsid w:val="EB48F1E8"/>
    <w:rsid w:val="EBDA229E"/>
    <w:rsid w:val="EBF56CBC"/>
    <w:rsid w:val="EBF94881"/>
    <w:rsid w:val="EBFE9B75"/>
    <w:rsid w:val="ECEE164F"/>
    <w:rsid w:val="EDFE7BDF"/>
    <w:rsid w:val="EDFECAC3"/>
    <w:rsid w:val="EE7C5A84"/>
    <w:rsid w:val="EEE439BE"/>
    <w:rsid w:val="EEF7377A"/>
    <w:rsid w:val="EEFC6798"/>
    <w:rsid w:val="EEFE3140"/>
    <w:rsid w:val="EFBAE92A"/>
    <w:rsid w:val="EFF54FC5"/>
    <w:rsid w:val="EFFD55AA"/>
    <w:rsid w:val="F1878628"/>
    <w:rsid w:val="F36D7703"/>
    <w:rsid w:val="F3BE65E1"/>
    <w:rsid w:val="F55FB23B"/>
    <w:rsid w:val="F5BEAC73"/>
    <w:rsid w:val="F5EF04CE"/>
    <w:rsid w:val="F6E97145"/>
    <w:rsid w:val="F6FB97E2"/>
    <w:rsid w:val="F6FBC7EF"/>
    <w:rsid w:val="F6FD90FB"/>
    <w:rsid w:val="F6FF8B86"/>
    <w:rsid w:val="F75FBAB0"/>
    <w:rsid w:val="F76FEFE9"/>
    <w:rsid w:val="F77B79D5"/>
    <w:rsid w:val="F79D4175"/>
    <w:rsid w:val="F7BDFB5C"/>
    <w:rsid w:val="F7DE7813"/>
    <w:rsid w:val="F7E8D321"/>
    <w:rsid w:val="F7F160C4"/>
    <w:rsid w:val="F7FB4545"/>
    <w:rsid w:val="F7FD2F4D"/>
    <w:rsid w:val="F7FF7101"/>
    <w:rsid w:val="F8DAB77B"/>
    <w:rsid w:val="F92E29FB"/>
    <w:rsid w:val="F9DF845D"/>
    <w:rsid w:val="F9EDDF5A"/>
    <w:rsid w:val="F9F79F06"/>
    <w:rsid w:val="FA3FDAA8"/>
    <w:rsid w:val="FA6FCA68"/>
    <w:rsid w:val="FA7FDD1F"/>
    <w:rsid w:val="FAABA300"/>
    <w:rsid w:val="FADFBF51"/>
    <w:rsid w:val="FAEF57AB"/>
    <w:rsid w:val="FAFFAE0B"/>
    <w:rsid w:val="FB0FDE27"/>
    <w:rsid w:val="FB5D1F68"/>
    <w:rsid w:val="FB8F67D7"/>
    <w:rsid w:val="FBAD3BAD"/>
    <w:rsid w:val="FBAEBB4F"/>
    <w:rsid w:val="FBBD41E4"/>
    <w:rsid w:val="FBBF94B5"/>
    <w:rsid w:val="FBBFF5E6"/>
    <w:rsid w:val="FBDF210E"/>
    <w:rsid w:val="FBDF80F0"/>
    <w:rsid w:val="FBF74EE3"/>
    <w:rsid w:val="FBFB4100"/>
    <w:rsid w:val="FBFF91B3"/>
    <w:rsid w:val="FC7F2C6D"/>
    <w:rsid w:val="FCBE5034"/>
    <w:rsid w:val="FCD859D4"/>
    <w:rsid w:val="FCFA8602"/>
    <w:rsid w:val="FCFF72F1"/>
    <w:rsid w:val="FD6A3185"/>
    <w:rsid w:val="FD9C4392"/>
    <w:rsid w:val="FD9D2B2B"/>
    <w:rsid w:val="FD9FD6C1"/>
    <w:rsid w:val="FDA361B6"/>
    <w:rsid w:val="FDBF59F8"/>
    <w:rsid w:val="FDBF9511"/>
    <w:rsid w:val="FDD8EA3C"/>
    <w:rsid w:val="FDE7FE0E"/>
    <w:rsid w:val="FDFAC641"/>
    <w:rsid w:val="FDFDFDA8"/>
    <w:rsid w:val="FE5EF5EE"/>
    <w:rsid w:val="FE5F357B"/>
    <w:rsid w:val="FE7602B8"/>
    <w:rsid w:val="FED64A8B"/>
    <w:rsid w:val="FEE6823D"/>
    <w:rsid w:val="FEF716B8"/>
    <w:rsid w:val="FEFAE0D0"/>
    <w:rsid w:val="FEFBB29C"/>
    <w:rsid w:val="FEFD868E"/>
    <w:rsid w:val="FEFD9834"/>
    <w:rsid w:val="FEFFC5A1"/>
    <w:rsid w:val="FF0635B1"/>
    <w:rsid w:val="FF1E8131"/>
    <w:rsid w:val="FF435C26"/>
    <w:rsid w:val="FF5F3066"/>
    <w:rsid w:val="FF77F585"/>
    <w:rsid w:val="FF77F926"/>
    <w:rsid w:val="FF7DB59E"/>
    <w:rsid w:val="FF7F1CA7"/>
    <w:rsid w:val="FF7FDE8C"/>
    <w:rsid w:val="FF942E05"/>
    <w:rsid w:val="FFAF600D"/>
    <w:rsid w:val="FFBBBD9D"/>
    <w:rsid w:val="FFBDBDC0"/>
    <w:rsid w:val="FFBE0738"/>
    <w:rsid w:val="FFBEAC4A"/>
    <w:rsid w:val="FFD6D4AF"/>
    <w:rsid w:val="FFDF218A"/>
    <w:rsid w:val="FFDF6E7D"/>
    <w:rsid w:val="FFE35DD6"/>
    <w:rsid w:val="FFE7B902"/>
    <w:rsid w:val="FFED9A86"/>
    <w:rsid w:val="FFEDA226"/>
    <w:rsid w:val="FFEEF265"/>
    <w:rsid w:val="FFEF0CC3"/>
    <w:rsid w:val="FFF4C8E2"/>
    <w:rsid w:val="FFF6BBF0"/>
    <w:rsid w:val="FFF72CC4"/>
    <w:rsid w:val="FFF738DC"/>
    <w:rsid w:val="FFF97888"/>
    <w:rsid w:val="FFFB3890"/>
    <w:rsid w:val="FFFC2402"/>
    <w:rsid w:val="FFFD914C"/>
    <w:rsid w:val="FFFF44E7"/>
    <w:rsid w:val="FFFF53E0"/>
    <w:rsid w:val="FFFF68CF"/>
    <w:rsid w:val="FFFFD7FC"/>
    <w:rsid w:val="FFFFDD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widowControl w:val="0"/>
      <w:spacing w:after="120"/>
      <w:ind w:left="200" w:leftChars="200"/>
    </w:pPr>
    <w:rPr>
      <w:rFonts w:ascii="Calibri" w:hAnsi="Calibri" w:cs="Times New Roman"/>
      <w:sz w:val="24"/>
      <w:szCs w:val="20"/>
    </w:rPr>
  </w:style>
  <w:style w:type="paragraph" w:styleId="3">
    <w:name w:val="Date"/>
    <w:basedOn w:val="1"/>
    <w:next w:val="1"/>
    <w:qFormat/>
    <w:uiPriority w:val="0"/>
    <w:rPr>
      <w:rFonts w:ascii="仿宋_GB2312" w:eastAsia="仿宋_GB2312"/>
      <w:sz w:val="3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3"/>
    <w:qFormat/>
    <w:uiPriority w:val="0"/>
    <w:pPr>
      <w:jc w:val="center"/>
    </w:pPr>
    <w:rPr>
      <w:rFonts w:ascii="方正小标宋简体" w:eastAsia="方正小标宋简体"/>
      <w:color w:val="FF0000"/>
      <w:sz w:val="72"/>
      <w:szCs w:val="24"/>
    </w:rPr>
  </w:style>
  <w:style w:type="paragraph" w:styleId="8">
    <w:name w:val="Body Text First Indent 2"/>
    <w:basedOn w:val="2"/>
    <w:qFormat/>
    <w:uiPriority w:val="99"/>
    <w:pPr>
      <w:ind w:firstLine="200" w:firstLineChars="200"/>
    </w:pPr>
    <w:rPr>
      <w:rFonts w:ascii="Calibri" w:hAnsi="Calibri"/>
      <w:sz w:val="24"/>
    </w:rPr>
  </w:style>
  <w:style w:type="paragraph" w:customStyle="1" w:styleId="11">
    <w:name w:val=" Char Char Char"/>
    <w:basedOn w:val="1"/>
    <w:link w:val="10"/>
    <w:qFormat/>
    <w:uiPriority w:val="0"/>
    <w:rPr>
      <w:szCs w:val="20"/>
    </w:rPr>
  </w:style>
  <w:style w:type="character" w:styleId="12">
    <w:name w:val="page number"/>
    <w:basedOn w:val="10"/>
    <w:qFormat/>
    <w:uiPriority w:val="0"/>
  </w:style>
  <w:style w:type="character" w:customStyle="1" w:styleId="13">
    <w:name w:val=" Char Char"/>
    <w:link w:val="7"/>
    <w:qFormat/>
    <w:uiPriority w:val="0"/>
    <w:rPr>
      <w:rFonts w:ascii="方正小标宋简体" w:eastAsia="方正小标宋简体"/>
      <w:color w:val="FF0000"/>
      <w:kern w:val="2"/>
      <w:sz w:val="72"/>
      <w:szCs w:val="24"/>
    </w:rPr>
  </w:style>
  <w:style w:type="character" w:customStyle="1" w:styleId="14">
    <w:name w:val="s1"/>
    <w:basedOn w:val="10"/>
    <w:qFormat/>
    <w:uiPriority w:val="0"/>
  </w:style>
  <w:style w:type="paragraph" w:customStyle="1" w:styleId="15">
    <w:name w:val="p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
    <w:name w:val="NormalCharacter"/>
    <w:link w:val="17"/>
    <w:qFormat/>
    <w:uiPriority w:val="0"/>
    <w:rPr>
      <w:kern w:val="2"/>
      <w:sz w:val="21"/>
      <w:szCs w:val="20"/>
      <w:lang w:val="en-US" w:eastAsia="zh-CN" w:bidi="ar-SA"/>
    </w:rPr>
  </w:style>
  <w:style w:type="paragraph" w:customStyle="1" w:styleId="17">
    <w:name w:val="UserStyle_5"/>
    <w:link w:val="16"/>
    <w:qFormat/>
    <w:uiPriority w:val="0"/>
    <w:pPr>
      <w:widowControl w:val="0"/>
      <w:jc w:val="both"/>
      <w:textAlignment w:val="baseline"/>
    </w:pPr>
    <w:rPr>
      <w:rFonts w:ascii="Times New Roman" w:hAnsi="Times New Roman" w:eastAsia="宋体" w:cs="Times New Roman"/>
      <w:kern w:val="2"/>
      <w:sz w:val="21"/>
      <w:szCs w:val="20"/>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RJSOFT</Company>
  <Pages>16</Pages>
  <Words>1114</Words>
  <Characters>6353</Characters>
  <Lines>52</Lines>
  <Paragraphs>14</Paragraphs>
  <TotalTime>0</TotalTime>
  <ScaleCrop>false</ScaleCrop>
  <LinksUpToDate>false</LinksUpToDate>
  <CharactersWithSpaces>7453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2020-09-26T16:29:00Z</dcterms:created>
  <dc:creator>RJeGov</dc:creator>
  <cp:lastModifiedBy>李慧琳</cp:lastModifiedBy>
  <cp:lastPrinted>2024-05-04T17:02:00Z</cp:lastPrinted>
  <dcterms:modified xsi:type="dcterms:W3CDTF">2024-06-11T15:58:30Z</dcterms:modified>
  <dc:title>正文文件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