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4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福建省生育关怀和家庭健康促进</w:t>
      </w:r>
    </w:p>
    <w:p>
      <w:pPr>
        <w:keepNext w:val="0"/>
        <w:keepLines w:val="0"/>
        <w:pageBreakBefore w:val="0"/>
        <w:widowControl w:val="0"/>
        <w:kinsoku/>
        <w:wordWrap/>
        <w:overflowPunct/>
        <w:topLinePunct w:val="0"/>
        <w:autoSpaceDE/>
        <w:autoSpaceDN/>
        <w:bidi w:val="0"/>
        <w:adjustRightInd/>
        <w:snapToGrid/>
        <w:spacing w:line="74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专项资金管理办法</w:t>
      </w:r>
    </w:p>
    <w:p>
      <w:pPr>
        <w:keepNext w:val="0"/>
        <w:keepLines w:val="0"/>
        <w:pageBreakBefore w:val="0"/>
        <w:kinsoku/>
        <w:wordWrap/>
        <w:overflowPunct/>
        <w:topLinePunct w:val="0"/>
        <w:autoSpaceDE/>
        <w:autoSpaceDN/>
        <w:bidi w:val="0"/>
        <w:adjustRightInd/>
        <w:spacing w:line="600" w:lineRule="exact"/>
        <w:textAlignment w:val="auto"/>
        <w:rPr>
          <w:rFonts w:hint="eastAsia"/>
          <w:lang w:val="en-US" w:eastAsia="zh-CN"/>
        </w:rPr>
      </w:pPr>
    </w:p>
    <w:p>
      <w:pPr>
        <w:keepNext w:val="0"/>
        <w:keepLines w:val="0"/>
        <w:pageBreakBefore w:val="0"/>
        <w:kinsoku/>
        <w:wordWrap/>
        <w:overflowPunct/>
        <w:topLinePunct w:val="0"/>
        <w:autoSpaceDE/>
        <w:autoSpaceDN/>
        <w:bidi w:val="0"/>
        <w:adjustRightInd/>
        <w:spacing w:line="60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第一章  总则</w:t>
      </w:r>
    </w:p>
    <w:p>
      <w:pPr>
        <w:keepNext w:val="0"/>
        <w:keepLines w:val="0"/>
        <w:pageBreakBefore w:val="0"/>
        <w:kinsoku/>
        <w:wordWrap/>
        <w:overflowPunct/>
        <w:topLinePunct w:val="0"/>
        <w:autoSpaceDE/>
        <w:autoSpaceDN/>
        <w:bidi w:val="0"/>
        <w:adjustRightInd/>
        <w:spacing w:line="60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第一条</w:t>
      </w:r>
      <w:r>
        <w:rPr>
          <w:rFonts w:hint="eastAsia" w:ascii="仿宋" w:hAnsi="仿宋" w:eastAsia="仿宋" w:cs="仿宋"/>
          <w:sz w:val="32"/>
          <w:szCs w:val="32"/>
          <w:lang w:val="en-US" w:eastAsia="zh-CN"/>
        </w:rPr>
        <w:t xml:space="preserve">   为规范和加强福建省生育关怀和家庭健康促进专项资金（以下简称专项资金）管理，提高资金使用效益，根据《中共中央 国务院关于优化生育政策促进人口长期均衡发展的决定》《福建省人民政府办公厅关于印发福建省计划生育协会改革方案的通知》（闽政办〔2019〕39号）和《福建省省级财政专项资金管理办法》（省政府令第131号）有关规定，制定本办法。</w:t>
      </w:r>
    </w:p>
    <w:p>
      <w:pPr>
        <w:keepNext w:val="0"/>
        <w:keepLines w:val="0"/>
        <w:pageBreakBefore w:val="0"/>
        <w:kinsoku/>
        <w:wordWrap/>
        <w:overflowPunct/>
        <w:topLinePunct w:val="0"/>
        <w:autoSpaceDE/>
        <w:autoSpaceDN/>
        <w:bidi w:val="0"/>
        <w:adjustRightInd/>
        <w:spacing w:line="60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第二条</w:t>
      </w:r>
      <w:r>
        <w:rPr>
          <w:rFonts w:hint="eastAsia" w:ascii="仿宋" w:hAnsi="仿宋" w:eastAsia="仿宋" w:cs="仿宋"/>
          <w:sz w:val="32"/>
          <w:szCs w:val="32"/>
          <w:lang w:val="en-US" w:eastAsia="zh-CN"/>
        </w:rPr>
        <w:t xml:space="preserve">   本办法所称专项资金，是指省级财政通过一般公共预算安排，用于支持计划生育协会深化生育关怀行动，在促进人口发展、生育支持、家庭健康等方面发挥作用的资金。</w:t>
      </w:r>
    </w:p>
    <w:p>
      <w:pPr>
        <w:keepNext w:val="0"/>
        <w:keepLines w:val="0"/>
        <w:pageBreakBefore w:val="0"/>
        <w:kinsoku/>
        <w:wordWrap/>
        <w:overflowPunct/>
        <w:topLinePunct w:val="0"/>
        <w:autoSpaceDE/>
        <w:autoSpaceDN/>
        <w:bidi w:val="0"/>
        <w:adjustRightInd/>
        <w:spacing w:line="60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第三条</w:t>
      </w:r>
      <w:r>
        <w:rPr>
          <w:rFonts w:hint="eastAsia" w:ascii="仿宋" w:hAnsi="仿宋" w:eastAsia="仿宋" w:cs="仿宋"/>
          <w:sz w:val="32"/>
          <w:szCs w:val="32"/>
          <w:lang w:val="en-US" w:eastAsia="zh-CN"/>
        </w:rPr>
        <w:t xml:space="preserve">   专项资金的使用管理遵循“突出重点、统筹兼顾、科学分配、讲求绩效”原则。</w:t>
      </w:r>
    </w:p>
    <w:p>
      <w:pPr>
        <w:keepNext w:val="0"/>
        <w:keepLines w:val="0"/>
        <w:pageBreakBefore w:val="0"/>
        <w:kinsoku/>
        <w:wordWrap/>
        <w:overflowPunct/>
        <w:topLinePunct w:val="0"/>
        <w:autoSpaceDE/>
        <w:autoSpaceDN/>
        <w:bidi w:val="0"/>
        <w:adjustRightInd/>
        <w:spacing w:line="60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第四条</w:t>
      </w:r>
      <w:r>
        <w:rPr>
          <w:rFonts w:hint="eastAsia" w:ascii="仿宋" w:hAnsi="仿宋" w:eastAsia="仿宋" w:cs="仿宋"/>
          <w:sz w:val="32"/>
          <w:szCs w:val="32"/>
          <w:lang w:val="en-US" w:eastAsia="zh-CN"/>
        </w:rPr>
        <w:t xml:space="preserve">   专项资金由省财政厅、省计生协会共同管理，分别履行以下职责：</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lang w:val="en-US" w:eastAsia="zh-CN"/>
        </w:rPr>
      </w:pPr>
      <w:r>
        <w:rPr>
          <w:rFonts w:hint="eastAsia" w:ascii="仿宋" w:hAnsi="仿宋" w:eastAsia="仿宋" w:cs="仿宋"/>
          <w:sz w:val="32"/>
          <w:szCs w:val="32"/>
          <w:lang w:val="en-US" w:eastAsia="zh-CN"/>
        </w:rPr>
        <w:t>省财政厅负责安排专项资金年度预算，审核专项资金分配方案，会同省计生协会下达专项资金，加强专项资金绩效目标管理，组织和指导开展预算资金绩效监控、绩效评价，将绩效管理结果作为改进管理、完善政策、编制以后年度专项资金预算的重要依据。</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省计生协会负责会同省财政厅建立健全专项资金具体管理制度；按预算管理的要求，编制专项资金支出预算；对专项资金申报材料进行审核，执行已经批复的专项资金支出预算，加强资金使用管理，开展监督检查；编制专项资金绩效目标，实施绩效运行监控，开展专项资金绩效评价，加强绩效管理结果应用。</w:t>
      </w:r>
    </w:p>
    <w:p>
      <w:pPr>
        <w:keepNext w:val="0"/>
        <w:keepLines w:val="0"/>
        <w:pageBreakBefore w:val="0"/>
        <w:numPr>
          <w:ilvl w:val="0"/>
          <w:numId w:val="0"/>
        </w:numPr>
        <w:kinsoku/>
        <w:wordWrap/>
        <w:overflowPunct/>
        <w:topLinePunct w:val="0"/>
        <w:autoSpaceDE/>
        <w:autoSpaceDN/>
        <w:bidi w:val="0"/>
        <w:adjustRightInd/>
        <w:spacing w:line="60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第五条</w:t>
      </w:r>
      <w:r>
        <w:rPr>
          <w:rFonts w:hint="eastAsia" w:ascii="仿宋" w:hAnsi="仿宋" w:eastAsia="仿宋" w:cs="仿宋"/>
          <w:sz w:val="32"/>
          <w:szCs w:val="32"/>
          <w:lang w:val="en-US" w:eastAsia="zh-CN"/>
        </w:rPr>
        <w:t xml:space="preserve">  各市、县（区）计生协会具体负责专项资金申报、执行、审核、公开、监督及绩效管理等工作，同级财政部门具体负责专项资金审核拨付、组织指导开展绩效管理工作。</w:t>
      </w:r>
    </w:p>
    <w:p>
      <w:pPr>
        <w:keepNext w:val="0"/>
        <w:keepLines w:val="0"/>
        <w:pageBreakBefore w:val="0"/>
        <w:numPr>
          <w:ilvl w:val="0"/>
          <w:numId w:val="0"/>
        </w:numPr>
        <w:kinsoku/>
        <w:wordWrap/>
        <w:overflowPunct/>
        <w:topLinePunct w:val="0"/>
        <w:autoSpaceDE/>
        <w:autoSpaceDN/>
        <w:bidi w:val="0"/>
        <w:adjustRightInd/>
        <w:spacing w:line="600" w:lineRule="exact"/>
        <w:textAlignment w:val="auto"/>
        <w:rPr>
          <w:rFonts w:hint="eastAsia" w:ascii="仿宋_GB2312" w:hAnsi="仿宋_GB2312" w:eastAsia="仿宋_GB2312" w:cs="仿宋_GB2312"/>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pacing w:line="60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第二章  资金使用范围</w:t>
      </w:r>
    </w:p>
    <w:p>
      <w:pPr>
        <w:keepNext w:val="0"/>
        <w:keepLines w:val="0"/>
        <w:pageBreakBefore w:val="0"/>
        <w:numPr>
          <w:ilvl w:val="0"/>
          <w:numId w:val="0"/>
        </w:numPr>
        <w:kinsoku/>
        <w:wordWrap/>
        <w:overflowPunct/>
        <w:topLinePunct w:val="0"/>
        <w:autoSpaceDE/>
        <w:autoSpaceDN/>
        <w:bidi w:val="0"/>
        <w:adjustRightInd/>
        <w:spacing w:line="60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第六条</w:t>
      </w:r>
      <w:r>
        <w:rPr>
          <w:rFonts w:hint="eastAsia" w:ascii="仿宋" w:hAnsi="仿宋" w:eastAsia="仿宋" w:cs="仿宋"/>
          <w:sz w:val="32"/>
          <w:szCs w:val="32"/>
          <w:lang w:val="en-US" w:eastAsia="zh-CN"/>
        </w:rPr>
        <w:t xml:space="preserve">    专项资金主要用于以下方面：</w:t>
      </w:r>
    </w:p>
    <w:p>
      <w:pPr>
        <w:keepNext w:val="0"/>
        <w:keepLines w:val="0"/>
        <w:pageBreakBefore w:val="0"/>
        <w:numPr>
          <w:ilvl w:val="0"/>
          <w:numId w:val="0"/>
        </w:numPr>
        <w:kinsoku/>
        <w:wordWrap/>
        <w:overflowPunct/>
        <w:topLinePunct w:val="0"/>
        <w:autoSpaceDE/>
        <w:autoSpaceDN/>
        <w:bidi w:val="0"/>
        <w:adjustRightIn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（一）生育关怀。主要用于帮扶</w:t>
      </w:r>
      <w:r>
        <w:rPr>
          <w:rFonts w:hint="eastAsia" w:ascii="仿宋" w:hAnsi="仿宋" w:eastAsia="仿宋" w:cs="仿宋"/>
          <w:sz w:val="32"/>
          <w:szCs w:val="32"/>
        </w:rPr>
        <w:t>国家提倡一对夫妻生育一个子女期间符合国家政策生育的</w:t>
      </w:r>
      <w:r>
        <w:rPr>
          <w:rFonts w:hint="eastAsia" w:ascii="仿宋" w:hAnsi="仿宋" w:eastAsia="仿宋" w:cs="仿宋"/>
          <w:sz w:val="32"/>
          <w:szCs w:val="32"/>
          <w:lang w:eastAsia="zh-CN"/>
        </w:rPr>
        <w:t>计划生育</w:t>
      </w:r>
      <w:r>
        <w:rPr>
          <w:rFonts w:hint="eastAsia" w:ascii="仿宋" w:hAnsi="仿宋" w:eastAsia="仿宋" w:cs="仿宋"/>
          <w:sz w:val="32"/>
          <w:szCs w:val="32"/>
        </w:rPr>
        <w:t>家庭</w:t>
      </w:r>
      <w:r>
        <w:rPr>
          <w:rFonts w:hint="eastAsia" w:ascii="仿宋" w:hAnsi="仿宋" w:eastAsia="仿宋" w:cs="仿宋"/>
          <w:sz w:val="32"/>
          <w:szCs w:val="32"/>
          <w:lang w:val="en-US" w:eastAsia="zh-CN"/>
        </w:rPr>
        <w:t>：金秋助学项目，对</w:t>
      </w:r>
      <w:r>
        <w:rPr>
          <w:rFonts w:hint="eastAsia" w:ascii="仿宋" w:hAnsi="仿宋" w:eastAsia="仿宋" w:cs="仿宋"/>
          <w:sz w:val="32"/>
          <w:szCs w:val="32"/>
          <w:lang w:eastAsia="zh-CN"/>
        </w:rPr>
        <w:t>符合条件的经济困难</w:t>
      </w:r>
      <w:r>
        <w:rPr>
          <w:rFonts w:hint="eastAsia" w:ascii="仿宋" w:hAnsi="仿宋" w:eastAsia="仿宋" w:cs="仿宋"/>
          <w:sz w:val="32"/>
          <w:szCs w:val="32"/>
        </w:rPr>
        <w:t>计划生育家庭女孩</w:t>
      </w:r>
      <w:r>
        <w:rPr>
          <w:rFonts w:hint="eastAsia" w:ascii="仿宋" w:hAnsi="仿宋" w:eastAsia="仿宋" w:cs="仿宋"/>
          <w:sz w:val="32"/>
          <w:szCs w:val="32"/>
          <w:lang w:val="en-US" w:eastAsia="zh-CN"/>
        </w:rPr>
        <w:t>给予大学学费补助</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安居工程项目，对</w:t>
      </w:r>
      <w:r>
        <w:rPr>
          <w:rFonts w:hint="eastAsia" w:ascii="仿宋" w:hAnsi="仿宋" w:eastAsia="仿宋" w:cs="仿宋"/>
          <w:sz w:val="32"/>
          <w:szCs w:val="32"/>
          <w:lang w:eastAsia="zh-CN"/>
        </w:rPr>
        <w:t>符合条件的经济困难</w:t>
      </w:r>
      <w:r>
        <w:rPr>
          <w:rFonts w:hint="eastAsia" w:ascii="仿宋" w:hAnsi="仿宋" w:eastAsia="仿宋" w:cs="仿宋"/>
          <w:sz w:val="32"/>
          <w:szCs w:val="32"/>
        </w:rPr>
        <w:t>计划生育家庭</w:t>
      </w:r>
      <w:r>
        <w:rPr>
          <w:rFonts w:hint="eastAsia" w:ascii="仿宋" w:hAnsi="仿宋" w:eastAsia="仿宋" w:cs="仿宋"/>
          <w:sz w:val="32"/>
          <w:szCs w:val="32"/>
          <w:lang w:eastAsia="zh-CN"/>
        </w:rPr>
        <w:t>给予</w:t>
      </w:r>
      <w:r>
        <w:rPr>
          <w:rFonts w:hint="eastAsia" w:ascii="仿宋" w:hAnsi="仿宋" w:eastAsia="仿宋" w:cs="仿宋"/>
          <w:sz w:val="32"/>
          <w:szCs w:val="32"/>
        </w:rPr>
        <w:t>建房、购房或房屋修缮</w:t>
      </w:r>
      <w:r>
        <w:rPr>
          <w:rFonts w:hint="eastAsia" w:ascii="仿宋" w:hAnsi="仿宋" w:eastAsia="仿宋" w:cs="仿宋"/>
          <w:sz w:val="32"/>
          <w:szCs w:val="32"/>
          <w:lang w:eastAsia="zh-CN"/>
        </w:rPr>
        <w:t>补助；</w:t>
      </w:r>
      <w:r>
        <w:rPr>
          <w:rFonts w:hint="eastAsia" w:ascii="仿宋" w:hAnsi="仿宋" w:eastAsia="仿宋" w:cs="仿宋"/>
          <w:sz w:val="32"/>
          <w:szCs w:val="32"/>
        </w:rPr>
        <w:t>计划生育特殊家庭帮扶项目，用于“失独家庭心理慰藉援助中心”“暖心家园”等阵地建设</w:t>
      </w:r>
      <w:r>
        <w:rPr>
          <w:rFonts w:hint="eastAsia" w:ascii="仿宋" w:hAnsi="仿宋" w:eastAsia="仿宋" w:cs="仿宋"/>
          <w:sz w:val="32"/>
          <w:szCs w:val="32"/>
          <w:lang w:val="en-US" w:eastAsia="zh-CN"/>
        </w:rPr>
        <w:t>及活动开展</w:t>
      </w:r>
      <w:r>
        <w:rPr>
          <w:rFonts w:hint="eastAsia" w:ascii="仿宋" w:hAnsi="仿宋" w:eastAsia="仿宋" w:cs="仿宋"/>
          <w:sz w:val="32"/>
          <w:szCs w:val="32"/>
          <w:lang w:eastAsia="zh-CN"/>
        </w:rPr>
        <w:t>；</w:t>
      </w:r>
      <w:r>
        <w:rPr>
          <w:rFonts w:hint="eastAsia" w:ascii="仿宋" w:hAnsi="仿宋" w:eastAsia="仿宋" w:cs="仿宋"/>
          <w:sz w:val="32"/>
          <w:szCs w:val="32"/>
        </w:rPr>
        <w:t>紧急扶助及慰问项目，对城乡计划生育困难家庭和计划生育特殊家庭开展紧急</w:t>
      </w:r>
      <w:r>
        <w:rPr>
          <w:rFonts w:hint="eastAsia" w:ascii="仿宋" w:hAnsi="仿宋" w:eastAsia="仿宋" w:cs="仿宋"/>
          <w:sz w:val="32"/>
          <w:szCs w:val="32"/>
          <w:lang w:val="en-US" w:eastAsia="zh-CN"/>
        </w:rPr>
        <w:t>扶</w:t>
      </w:r>
      <w:r>
        <w:rPr>
          <w:rFonts w:hint="eastAsia" w:ascii="仿宋" w:hAnsi="仿宋" w:eastAsia="仿宋" w:cs="仿宋"/>
          <w:sz w:val="32"/>
          <w:szCs w:val="32"/>
        </w:rPr>
        <w:t>助和走访慰问</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生殖健康服务项目，</w:t>
      </w:r>
      <w:r>
        <w:rPr>
          <w:rFonts w:hint="eastAsia" w:ascii="仿宋" w:hAnsi="仿宋" w:eastAsia="仿宋" w:cs="仿宋"/>
          <w:b w:val="0"/>
          <w:bCs w:val="0"/>
          <w:color w:val="auto"/>
          <w:sz w:val="32"/>
          <w:szCs w:val="32"/>
        </w:rPr>
        <w:t>对实施不育不孕症</w:t>
      </w:r>
      <w:r>
        <w:rPr>
          <w:rFonts w:hint="eastAsia" w:ascii="仿宋" w:hAnsi="仿宋" w:eastAsia="仿宋" w:cs="仿宋"/>
          <w:b w:val="0"/>
          <w:bCs w:val="0"/>
          <w:color w:val="auto"/>
          <w:sz w:val="32"/>
          <w:szCs w:val="32"/>
          <w:lang w:val="en-US" w:eastAsia="zh-CN"/>
        </w:rPr>
        <w:t>或生殖健康系统疾病治疗或筛查的计划生育困难家庭和</w:t>
      </w:r>
      <w:r>
        <w:rPr>
          <w:rFonts w:hint="eastAsia" w:ascii="仿宋" w:hAnsi="仿宋" w:eastAsia="仿宋" w:cs="仿宋"/>
          <w:sz w:val="32"/>
          <w:szCs w:val="32"/>
        </w:rPr>
        <w:t>计划生育特殊家庭</w:t>
      </w:r>
      <w:r>
        <w:rPr>
          <w:rFonts w:hint="eastAsia" w:ascii="仿宋" w:hAnsi="仿宋" w:eastAsia="仿宋" w:cs="仿宋"/>
          <w:b w:val="0"/>
          <w:bCs w:val="0"/>
          <w:color w:val="auto"/>
          <w:sz w:val="32"/>
          <w:szCs w:val="32"/>
          <w:lang w:val="en-US" w:eastAsia="zh-CN"/>
        </w:rPr>
        <w:t>给予补助；</w:t>
      </w:r>
      <w:r>
        <w:rPr>
          <w:rFonts w:hint="eastAsia" w:ascii="仿宋" w:hAnsi="仿宋" w:eastAsia="仿宋" w:cs="仿宋"/>
          <w:sz w:val="32"/>
          <w:szCs w:val="32"/>
          <w:lang w:val="en-US" w:eastAsia="zh-CN"/>
        </w:rPr>
        <w:t>开展与上述项目相关的宣传活动</w:t>
      </w:r>
      <w:r>
        <w:rPr>
          <w:rFonts w:hint="eastAsia" w:ascii="仿宋" w:hAnsi="仿宋" w:eastAsia="仿宋" w:cs="仿宋"/>
          <w:b w:val="0"/>
          <w:bCs w:val="0"/>
          <w:color w:val="auto"/>
          <w:sz w:val="32"/>
          <w:szCs w:val="32"/>
          <w:lang w:val="en-US" w:eastAsia="zh-CN"/>
        </w:rPr>
        <w:t>。</w:t>
      </w:r>
    </w:p>
    <w:p>
      <w:pPr>
        <w:keepNext w:val="0"/>
        <w:keepLines w:val="0"/>
        <w:pageBreakBefore w:val="0"/>
        <w:numPr>
          <w:ilvl w:val="0"/>
          <w:numId w:val="0"/>
        </w:numPr>
        <w:kinsoku/>
        <w:wordWrap/>
        <w:overflowPunct/>
        <w:topLinePunct w:val="0"/>
        <w:autoSpaceDE/>
        <w:autoSpaceDN/>
        <w:bidi w:val="0"/>
        <w:adjustRightIn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（二）家庭健康促进。主要用于：家庭健康指导、咨询、教育和服务，家庭健康服务中心（驿站）建设，</w:t>
      </w:r>
      <w:r>
        <w:rPr>
          <w:rFonts w:hint="eastAsia" w:ascii="仿宋" w:hAnsi="仿宋" w:eastAsia="仿宋" w:cs="仿宋"/>
          <w:sz w:val="32"/>
          <w:szCs w:val="32"/>
        </w:rPr>
        <w:t>示范</w:t>
      </w:r>
      <w:r>
        <w:rPr>
          <w:rFonts w:hint="eastAsia" w:ascii="仿宋" w:hAnsi="仿宋" w:eastAsia="仿宋" w:cs="仿宋"/>
          <w:sz w:val="32"/>
          <w:szCs w:val="32"/>
          <w:lang w:eastAsia="zh-CN"/>
        </w:rPr>
        <w:t>性</w:t>
      </w:r>
      <w:r>
        <w:rPr>
          <w:rFonts w:hint="eastAsia" w:ascii="仿宋" w:hAnsi="仿宋" w:eastAsia="仿宋" w:cs="仿宋"/>
          <w:sz w:val="32"/>
          <w:szCs w:val="32"/>
          <w:lang w:val="en-US" w:eastAsia="zh-CN"/>
        </w:rPr>
        <w:t>健康家庭创建及“健康知识进万家”系列活动，开展群众性健康宣传教育服务活动等；开展生育支持服务，加强新型婚育文化宣传，做好优生优育指导及“青春健康”教育等；建设新时代计划生育协会“会员之家”，动员服务会员群众。</w:t>
      </w:r>
    </w:p>
    <w:p>
      <w:pPr>
        <w:keepNext w:val="0"/>
        <w:keepLines w:val="0"/>
        <w:pageBreakBefore w:val="0"/>
        <w:numPr>
          <w:ilvl w:val="0"/>
          <w:numId w:val="0"/>
        </w:numPr>
        <w:kinsoku/>
        <w:wordWrap/>
        <w:overflowPunct/>
        <w:topLinePunct w:val="0"/>
        <w:autoSpaceDE/>
        <w:autoSpaceDN/>
        <w:bidi w:val="0"/>
        <w:adjustRightInd/>
        <w:spacing w:line="60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第七条</w:t>
      </w:r>
      <w:r>
        <w:rPr>
          <w:rFonts w:hint="eastAsia" w:ascii="仿宋" w:hAnsi="仿宋" w:eastAsia="仿宋" w:cs="仿宋"/>
          <w:sz w:val="32"/>
          <w:szCs w:val="32"/>
          <w:lang w:val="en-US" w:eastAsia="zh-CN"/>
        </w:rPr>
        <w:t xml:space="preserve">   专项资金应当按照规定的用途和范围分配使用，禁止用于一般性业务费和“三公”经费支出，任何单位和个人不得截留、挤占和挪用。</w:t>
      </w:r>
    </w:p>
    <w:p>
      <w:pPr>
        <w:keepNext w:val="0"/>
        <w:keepLines w:val="0"/>
        <w:pageBreakBefore w:val="0"/>
        <w:numPr>
          <w:ilvl w:val="0"/>
          <w:numId w:val="0"/>
        </w:numPr>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pacing w:line="60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第三章  资金分配和使用管理</w:t>
      </w:r>
    </w:p>
    <w:p>
      <w:pPr>
        <w:keepNext w:val="0"/>
        <w:keepLines w:val="0"/>
        <w:pageBreakBefore w:val="0"/>
        <w:numPr>
          <w:ilvl w:val="0"/>
          <w:numId w:val="0"/>
        </w:numPr>
        <w:kinsoku/>
        <w:wordWrap/>
        <w:overflowPunct/>
        <w:topLinePunct w:val="0"/>
        <w:autoSpaceDE/>
        <w:autoSpaceDN/>
        <w:bidi w:val="0"/>
        <w:adjustRightInd/>
        <w:spacing w:line="60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第八条</w:t>
      </w:r>
      <w:r>
        <w:rPr>
          <w:rFonts w:hint="eastAsia" w:ascii="仿宋" w:hAnsi="仿宋" w:eastAsia="仿宋" w:cs="仿宋"/>
          <w:sz w:val="32"/>
          <w:szCs w:val="32"/>
          <w:lang w:val="en-US" w:eastAsia="zh-CN"/>
        </w:rPr>
        <w:t xml:space="preserve">  专项资金采用因素法进行分配，其中，金秋助学、安居工程等资金依据实际补助人数及补助标准测算分配；其他资金分配因素包括需求、财力、绩效因素，权重分别为60%、10%、30%。需求因素主要参考各地各项工作任务、补助对象数量等指标；财力因素主要参考各地财力状况分档等指标；绩效因素主要参考绩效管理结果或其他体现成效的指标。重点向工作任务重、财力困难、工作绩效好的地区倾斜。每年分配资金选择的因素及权重，可根据年度工作重点适当调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第九条</w:t>
      </w:r>
      <w:r>
        <w:rPr>
          <w:rFonts w:hint="eastAsia" w:ascii="仿宋" w:hAnsi="仿宋" w:eastAsia="仿宋" w:cs="仿宋"/>
          <w:sz w:val="32"/>
          <w:szCs w:val="32"/>
          <w:lang w:val="en-US" w:eastAsia="zh-CN"/>
        </w:rPr>
        <w:t xml:space="preserve">   专项资金按以下程序审核和下达：</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（一）各县（市、区）计生协会于每年8月31日前，根据本地实际情况和当年度补助情况提出次年度专项资金使用计划和绩效目标，由各设区市计划生育协会汇总审核后，于9月15日前上报省计生协会。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省计生协会对各地上报材料汇总审核后，结合专项资金总体规模，按规定时限和比例，形成次年度拟安排资金方案和绩效目标，于每年10月15日前报省财政厅审核。省财政厅会同省计划生育协会按照预算执行管理有关时限要求将专项资金预计数提前下达各地，其余资金在省人民代表大会批准年度预算后的60日内下达。</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（三）各市、县（区）财政部门、计生协会在收到上级专项资金后，按规定程序和要求及时拨付资金，确保年度工作任务保质保量完成。</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（四）各设区市计生协会、财政部门于每年3月31日前将所辖县（市、区）上年度资金使用情况、绩效评价情况上报省计生协会、省财政厅。</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第十条</w:t>
      </w:r>
      <w:r>
        <w:rPr>
          <w:rFonts w:hint="eastAsia" w:ascii="仿宋" w:hAnsi="仿宋" w:eastAsia="仿宋" w:cs="仿宋"/>
          <w:sz w:val="32"/>
          <w:szCs w:val="32"/>
          <w:lang w:val="en-US" w:eastAsia="zh-CN"/>
        </w:rPr>
        <w:t xml:space="preserve">   专项资金的支付按照国库集中支付制度有关规定执行。专项资金使用中属于政府采购管理范围的，按照政府采购有关规定执行。</w:t>
      </w:r>
    </w:p>
    <w:p>
      <w:pPr>
        <w:keepNext w:val="0"/>
        <w:keepLines w:val="0"/>
        <w:pageBreakBefore w:val="0"/>
        <w:numPr>
          <w:ilvl w:val="0"/>
          <w:numId w:val="0"/>
        </w:numPr>
        <w:kinsoku/>
        <w:wordWrap/>
        <w:overflowPunct/>
        <w:topLinePunct w:val="0"/>
        <w:autoSpaceDE/>
        <w:autoSpaceDN/>
        <w:bidi w:val="0"/>
        <w:adjustRightInd/>
        <w:spacing w:line="600" w:lineRule="exact"/>
        <w:textAlignment w:val="auto"/>
        <w:rPr>
          <w:rFonts w:hint="default" w:ascii="仿宋_GB2312" w:hAnsi="仿宋_GB2312" w:eastAsia="仿宋_GB2312" w:cs="仿宋_GB2312"/>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pacing w:line="60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第四章 绩效管理和监督检查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第十一条</w:t>
      </w:r>
      <w:r>
        <w:rPr>
          <w:rFonts w:hint="eastAsia" w:ascii="仿宋" w:hAnsi="仿宋" w:eastAsia="仿宋" w:cs="仿宋"/>
          <w:sz w:val="32"/>
          <w:szCs w:val="32"/>
          <w:lang w:val="en-US" w:eastAsia="zh-CN"/>
        </w:rPr>
        <w:t xml:space="preserve">  专项资金应建立事前绩效评估、绩效目标管理、绩效运行监控、绩效评价、评价结果应用等全过程预算绩效管理机制。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第十二条</w:t>
      </w:r>
      <w:r>
        <w:rPr>
          <w:rFonts w:hint="eastAsia" w:ascii="仿宋" w:hAnsi="仿宋" w:eastAsia="仿宋" w:cs="仿宋"/>
          <w:sz w:val="32"/>
          <w:szCs w:val="32"/>
          <w:lang w:val="en-US" w:eastAsia="zh-CN"/>
        </w:rPr>
        <w:t xml:space="preserve">  各级计生协会要强化绩效目标管理，合理设置专项资金绩效目标，并随资金分配文件同步分解下达。</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第十三条</w:t>
      </w:r>
      <w:r>
        <w:rPr>
          <w:rFonts w:hint="eastAsia" w:ascii="仿宋" w:hAnsi="仿宋" w:eastAsia="仿宋" w:cs="仿宋"/>
          <w:sz w:val="32"/>
          <w:szCs w:val="32"/>
          <w:lang w:val="en-US" w:eastAsia="zh-CN"/>
        </w:rPr>
        <w:t xml:space="preserve">  各级计生协会要加强对绩效目标实现程度和预算执行进度“双监控”，发现绩效运行与预期绩效目标发生偏离时，应当及时采取措施予以纠正。预算执行结束后，各地按要求开展绩效评价并由设区市计生协会汇总上报，并对上报的评价结果和绩效评价相关材料的真实性负责。</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第十四条</w:t>
      </w:r>
      <w:r>
        <w:rPr>
          <w:rFonts w:hint="eastAsia" w:ascii="仿宋" w:hAnsi="仿宋" w:eastAsia="仿宋" w:cs="仿宋"/>
          <w:sz w:val="32"/>
          <w:szCs w:val="32"/>
          <w:lang w:val="en-US" w:eastAsia="zh-CN"/>
        </w:rPr>
        <w:t xml:space="preserve">  省计生协会、省财政厅按预算绩效管理职责分工和工作需要组织开展绩效评价。绩效评价结果作为完善专项资金政策、改进管理以及下一年预算申请、安排、分配的重要依据。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第十五条</w:t>
      </w:r>
      <w:r>
        <w:rPr>
          <w:rFonts w:hint="eastAsia" w:ascii="仿宋" w:hAnsi="仿宋" w:eastAsia="仿宋" w:cs="仿宋"/>
          <w:sz w:val="32"/>
          <w:szCs w:val="32"/>
          <w:lang w:val="en-US" w:eastAsia="zh-CN"/>
        </w:rPr>
        <w:t xml:space="preserve">  各级财政部门、计生协会应当加强对专项资金管理使用的监督检查，发现问题及时纠正。</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第十六条</w:t>
      </w:r>
      <w:r>
        <w:rPr>
          <w:rFonts w:hint="eastAsia" w:ascii="仿宋" w:hAnsi="仿宋" w:eastAsia="仿宋" w:cs="仿宋"/>
          <w:sz w:val="32"/>
          <w:szCs w:val="32"/>
          <w:lang w:val="en-US" w:eastAsia="zh-CN"/>
        </w:rPr>
        <w:t xml:space="preserve">  专项资金使用单位应主动接受财政、审计、纪检监察等部门的监督检查。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第十七条</w:t>
      </w:r>
      <w:r>
        <w:rPr>
          <w:rFonts w:hint="eastAsia" w:ascii="仿宋" w:hAnsi="仿宋" w:eastAsia="仿宋" w:cs="仿宋"/>
          <w:sz w:val="32"/>
          <w:szCs w:val="32"/>
          <w:lang w:val="en-US" w:eastAsia="zh-CN"/>
        </w:rPr>
        <w:t xml:space="preserve">  专项资金使用管理中存在虚报、冒领、截留、挪用等违法违规行为的，应当按照《中华人民共和国预算法》《中华人民共和国预算法实施条例》《财政违法行为处罚处分条例》等有关规定予以处理，并依法追究相应责任。构成犯罪的，依法移送司法机关。</w:t>
      </w:r>
      <w:bookmarkStart w:id="0" w:name="_GoBack"/>
      <w:bookmarkEnd w:id="0"/>
    </w:p>
    <w:p>
      <w:pPr>
        <w:keepNext w:val="0"/>
        <w:keepLines w:val="0"/>
        <w:pageBreakBefore w:val="0"/>
        <w:numPr>
          <w:ilvl w:val="0"/>
          <w:numId w:val="0"/>
        </w:numPr>
        <w:kinsoku/>
        <w:wordWrap/>
        <w:overflowPunct/>
        <w:topLinePunct w:val="0"/>
        <w:autoSpaceDE/>
        <w:autoSpaceDN/>
        <w:bidi w:val="0"/>
        <w:adjustRightInd/>
        <w:spacing w:line="600" w:lineRule="exact"/>
        <w:textAlignment w:val="auto"/>
        <w:rPr>
          <w:rFonts w:hint="eastAsia" w:ascii="仿宋_GB2312" w:hAnsi="仿宋_GB2312" w:eastAsia="仿宋_GB2312" w:cs="仿宋_GB2312"/>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pacing w:line="60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第五章  附则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第十八条</w:t>
      </w:r>
      <w:r>
        <w:rPr>
          <w:rFonts w:hint="eastAsia" w:ascii="仿宋" w:hAnsi="仿宋" w:eastAsia="仿宋" w:cs="仿宋"/>
          <w:sz w:val="32"/>
          <w:szCs w:val="32"/>
          <w:lang w:val="en-US" w:eastAsia="zh-CN"/>
        </w:rPr>
        <w:t xml:space="preserve">  各市、县（区）财政部门和计生协会可根据本办法制定具体实施办法。</w:t>
      </w:r>
    </w:p>
    <w:p>
      <w:pPr>
        <w:keepNext w:val="0"/>
        <w:keepLines w:val="0"/>
        <w:pageBreakBefore w:val="0"/>
        <w:widowControl/>
        <w:numPr>
          <w:ilvl w:val="0"/>
          <w:numId w:val="0"/>
        </w:numPr>
        <w:pBdr>
          <w:bottom w:val="single" w:color="FFFFFF" w:sz="4" w:space="31"/>
        </w:pBdr>
        <w:tabs>
          <w:tab w:val="left" w:pos="1440"/>
        </w:tabs>
        <w:kinsoku/>
        <w:wordWrap/>
        <w:overflowPunct/>
        <w:topLinePunct w:val="0"/>
        <w:autoSpaceDE/>
        <w:autoSpaceDN/>
        <w:bidi w:val="0"/>
        <w:adjustRightInd/>
        <w:snapToGrid w:val="0"/>
        <w:spacing w:beforeLines="0" w:afterLines="0" w:line="600" w:lineRule="exact"/>
        <w:ind w:firstLine="640" w:firstLineChars="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rPr>
        <w:t>第</w:t>
      </w:r>
      <w:r>
        <w:rPr>
          <w:rFonts w:hint="eastAsia" w:ascii="仿宋" w:hAnsi="仿宋" w:eastAsia="仿宋" w:cs="仿宋"/>
          <w:b/>
          <w:bCs/>
          <w:sz w:val="32"/>
          <w:szCs w:val="32"/>
          <w:lang w:eastAsia="zh-CN"/>
        </w:rPr>
        <w:t>十九</w:t>
      </w:r>
      <w:r>
        <w:rPr>
          <w:rFonts w:hint="eastAsia" w:ascii="仿宋" w:hAnsi="仿宋" w:eastAsia="仿宋" w:cs="仿宋"/>
          <w:b/>
          <w:bCs/>
          <w:sz w:val="32"/>
          <w:szCs w:val="32"/>
        </w:rPr>
        <w:t>条</w:t>
      </w:r>
      <w:r>
        <w:rPr>
          <w:rFonts w:hint="eastAsia" w:ascii="仿宋" w:hAnsi="仿宋" w:eastAsia="仿宋" w:cs="仿宋"/>
          <w:b/>
          <w:bCs/>
          <w:sz w:val="32"/>
          <w:szCs w:val="32"/>
          <w:lang w:val="en-US" w:eastAsia="zh-CN"/>
        </w:rPr>
        <w:t xml:space="preserve">  </w:t>
      </w:r>
      <w:r>
        <w:rPr>
          <w:rFonts w:hint="eastAsia" w:ascii="仿宋" w:hAnsi="仿宋" w:eastAsia="仿宋" w:cs="仿宋"/>
          <w:color w:val="000000"/>
          <w:sz w:val="32"/>
          <w:szCs w:val="32"/>
          <w:highlight w:val="none"/>
        </w:rPr>
        <w:t>本办法</w:t>
      </w:r>
      <w:r>
        <w:rPr>
          <w:rFonts w:hint="eastAsia" w:ascii="仿宋" w:hAnsi="仿宋" w:eastAsia="仿宋" w:cs="仿宋"/>
          <w:sz w:val="32"/>
          <w:szCs w:val="32"/>
          <w:highlight w:val="none"/>
          <w:lang w:eastAsia="zh-CN"/>
        </w:rPr>
        <w:t>由省财政厅会同省</w:t>
      </w:r>
      <w:r>
        <w:rPr>
          <w:rFonts w:hint="eastAsia" w:ascii="仿宋" w:hAnsi="仿宋" w:eastAsia="仿宋" w:cs="仿宋"/>
          <w:sz w:val="32"/>
          <w:szCs w:val="32"/>
          <w:lang w:val="en-US" w:eastAsia="zh-CN"/>
        </w:rPr>
        <w:t>计生协会</w:t>
      </w:r>
      <w:r>
        <w:rPr>
          <w:rFonts w:hint="eastAsia" w:ascii="仿宋" w:hAnsi="仿宋" w:eastAsia="仿宋" w:cs="仿宋"/>
          <w:sz w:val="32"/>
          <w:szCs w:val="32"/>
          <w:highlight w:val="none"/>
          <w:lang w:eastAsia="zh-CN"/>
        </w:rPr>
        <w:t>负责解释。</w:t>
      </w:r>
    </w:p>
    <w:p>
      <w:pPr>
        <w:keepNext w:val="0"/>
        <w:keepLines w:val="0"/>
        <w:pageBreakBefore w:val="0"/>
        <w:widowControl/>
        <w:numPr>
          <w:ilvl w:val="0"/>
          <w:numId w:val="0"/>
        </w:numPr>
        <w:pBdr>
          <w:bottom w:val="single" w:color="FFFFFF" w:sz="4" w:space="31"/>
        </w:pBdr>
        <w:tabs>
          <w:tab w:val="left" w:pos="1440"/>
        </w:tabs>
        <w:kinsoku/>
        <w:wordWrap/>
        <w:overflowPunct/>
        <w:topLinePunct w:val="0"/>
        <w:autoSpaceDE/>
        <w:autoSpaceDN/>
        <w:bidi w:val="0"/>
        <w:adjustRightInd/>
        <w:snapToGrid w:val="0"/>
        <w:spacing w:beforeLines="0" w:afterLines="0" w:line="600" w:lineRule="exact"/>
        <w:ind w:firstLine="640" w:firstLineChars="0"/>
        <w:textAlignment w:val="auto"/>
        <w:rPr>
          <w:rFonts w:hint="default"/>
          <w:lang w:val="en-US"/>
        </w:rPr>
      </w:pPr>
      <w:r>
        <w:rPr>
          <w:rFonts w:hint="eastAsia" w:ascii="仿宋" w:hAnsi="仿宋" w:eastAsia="仿宋" w:cs="仿宋"/>
          <w:b/>
          <w:bCs/>
          <w:sz w:val="32"/>
          <w:szCs w:val="32"/>
          <w:lang w:val="en-US" w:eastAsia="zh-CN"/>
        </w:rPr>
        <w:t>第二十条</w:t>
      </w:r>
      <w:r>
        <w:rPr>
          <w:rFonts w:hint="eastAsia" w:ascii="仿宋" w:hAnsi="仿宋" w:eastAsia="仿宋" w:cs="仿宋"/>
          <w:sz w:val="32"/>
          <w:szCs w:val="32"/>
          <w:lang w:val="en-US" w:eastAsia="zh-CN"/>
        </w:rPr>
        <w:t xml:space="preserve">  本办法自印发之日起施行，有效期至2025年12月31日。《福建省省级生育关怀行动和基层计划生育协会建设专项资金管理办法》（闽财社〔2020〕11号）同时废止。</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78"/>
    <w:family w:val="script"/>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方正仿宋_GBK">
    <w:altName w:val="Arial Unicode MS"/>
    <w:panose1 w:val="02000000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embedSystemFonts/>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C66B40"/>
    <w:rsid w:val="16C66B40"/>
    <w:rsid w:val="6BD1292A"/>
    <w:rsid w:val="77B75EB6"/>
    <w:rsid w:val="7E527C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方正仿宋_GBK" w:cs="Times New Roman"/>
      <w:kern w:val="2"/>
      <w:sz w:val="32"/>
      <w:szCs w:val="22"/>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tabs>
        <w:tab w:val="left" w:pos="6400"/>
      </w:tabs>
      <w:snapToGrid w:val="0"/>
      <w:spacing w:line="360" w:lineRule="atLeast"/>
      <w:jc w:val="left"/>
    </w:pPr>
    <w:rPr>
      <w:rFonts w:ascii="仿宋_GB2312"/>
    </w:rPr>
  </w:style>
  <w:style w:type="paragraph" w:styleId="3">
    <w:name w:val="Body Text First Indent"/>
    <w:basedOn w:val="2"/>
    <w:next w:val="2"/>
    <w:qFormat/>
    <w:uiPriority w:val="0"/>
    <w:pPr>
      <w:widowControl w:val="0"/>
      <w:ind w:firstLine="720"/>
      <w:jc w:val="both"/>
    </w:pPr>
    <w:rPr>
      <w:rFonts w:ascii="Calibri" w:hAnsi="Calibri" w:eastAsia="华文仿宋" w:cs="Times New Roman"/>
      <w:kern w:val="2"/>
      <w:sz w:val="30"/>
      <w:szCs w:val="24"/>
      <w:lang w:val="en-US" w:eastAsia="zh-CN" w:bidi="ar-SA"/>
    </w:rPr>
  </w:style>
  <w:style w:type="paragraph" w:styleId="4">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2023-07-25T02:48:00Z</dcterms:created>
  <dc:creator>陈雯靓</dc:creator>
  <cp:lastModifiedBy>陈雯靓</cp:lastModifiedBy>
  <cp:lastPrinted>2023-07-25T02:48:00Z</cp:lastPrinted>
  <dcterms:modified xsi:type="dcterms:W3CDTF">2023-08-23T03:31:06Z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