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920" w:type="dxa"/>
        <w:tblInd w:w="0" w:type="dxa"/>
        <w:tblLayout w:type="fixed"/>
        <w:tblCellMar>
          <w:top w:w="0" w:type="dxa"/>
          <w:left w:w="28" w:type="dxa"/>
          <w:bottom w:w="0" w:type="dxa"/>
          <w:right w:w="28" w:type="dxa"/>
        </w:tblCellMar>
      </w:tblPr>
      <w:tblGrid>
        <w:gridCol w:w="6702"/>
        <w:gridCol w:w="2218"/>
      </w:tblGrid>
      <w:tr>
        <w:tblPrEx>
          <w:tblCellMar>
            <w:top w:w="0" w:type="dxa"/>
            <w:left w:w="28" w:type="dxa"/>
            <w:bottom w:w="0" w:type="dxa"/>
            <w:right w:w="28" w:type="dxa"/>
          </w:tblCellMar>
        </w:tblPrEx>
        <w:trPr>
          <w:trHeight w:val="1632" w:hRule="exact"/>
        </w:trPr>
        <w:tc>
          <w:tcPr>
            <w:tcW w:w="8920" w:type="dxa"/>
            <w:gridSpan w:val="2"/>
            <w:noWrap w:val="0"/>
            <w:vAlign w:val="center"/>
          </w:tcPr>
          <w:p>
            <w:pPr>
              <w:adjustRightInd w:val="0"/>
              <w:snapToGrid w:val="0"/>
              <w:spacing w:before="100" w:beforeAutospacing="1" w:after="100" w:afterAutospacing="1"/>
              <w:ind w:right="496" w:rightChars="157"/>
              <w:textAlignment w:val="bottom"/>
              <w:rPr>
                <w:rFonts w:eastAsia="黑体"/>
                <w:sz w:val="32"/>
                <w:szCs w:val="32"/>
              </w:rPr>
            </w:pPr>
            <w:bookmarkStart w:id="14" w:name="_GoBack"/>
            <w:bookmarkEnd w:id="14"/>
          </w:p>
        </w:tc>
      </w:tr>
      <w:tr>
        <w:tblPrEx>
          <w:tblCellMar>
            <w:top w:w="0" w:type="dxa"/>
            <w:left w:w="28" w:type="dxa"/>
            <w:bottom w:w="0" w:type="dxa"/>
            <w:right w:w="28" w:type="dxa"/>
          </w:tblCellMar>
        </w:tblPrEx>
        <w:trPr>
          <w:trHeight w:val="1560" w:hRule="atLeast"/>
        </w:trPr>
        <w:tc>
          <w:tcPr>
            <w:tcW w:w="6702" w:type="dxa"/>
            <w:noWrap w:val="0"/>
            <w:vAlign w:val="center"/>
          </w:tcPr>
          <w:p>
            <w:pPr>
              <w:adjustRightInd w:val="0"/>
              <w:snapToGrid w:val="0"/>
              <w:spacing w:before="100" w:beforeAutospacing="1" w:after="100" w:afterAutospacing="1" w:line="1180" w:lineRule="exact"/>
              <w:jc w:val="distribute"/>
              <w:textAlignment w:val="bottom"/>
              <w:rPr>
                <w:rFonts w:hint="eastAsia" w:ascii="方正小标宋简体" w:eastAsia="方正小标宋简体"/>
                <w:b/>
                <w:bCs/>
                <w:color w:val="FF0000"/>
                <w:sz w:val="52"/>
                <w:szCs w:val="52"/>
                <w:lang w:eastAsia="zh-CN"/>
              </w:rPr>
            </w:pPr>
            <w:bookmarkStart w:id="0" w:name="PO_fhead1"/>
            <w:r>
              <w:rPr>
                <w:rFonts w:hint="eastAsia" w:ascii="方正小标宋简体" w:eastAsia="方正小标宋简体"/>
                <w:b/>
                <w:bCs/>
                <w:color w:val="FF0000"/>
                <w:sz w:val="52"/>
                <w:szCs w:val="52"/>
                <w:lang w:eastAsia="zh-CN"/>
              </w:rPr>
              <w:t>福建省财政厅</w:t>
            </w:r>
          </w:p>
          <w:p>
            <w:pPr>
              <w:adjustRightInd w:val="0"/>
              <w:snapToGrid w:val="0"/>
              <w:spacing w:before="100" w:beforeAutospacing="1" w:after="100" w:afterAutospacing="1" w:line="1180" w:lineRule="exact"/>
              <w:jc w:val="distribute"/>
              <w:textAlignment w:val="bottom"/>
              <w:rPr>
                <w:rFonts w:hint="eastAsia" w:ascii="方正小标宋简体" w:eastAsia="方正小标宋简体"/>
                <w:b/>
                <w:bCs/>
                <w:color w:val="FF0000"/>
                <w:sz w:val="84"/>
                <w:szCs w:val="84"/>
                <w:lang w:eastAsia="zh-CN"/>
              </w:rPr>
            </w:pPr>
            <w:r>
              <w:rPr>
                <w:rFonts w:hint="eastAsia" w:ascii="方正小标宋简体" w:eastAsia="方正小标宋简体"/>
                <w:b/>
                <w:bCs/>
                <w:color w:val="FF0000"/>
                <w:sz w:val="52"/>
                <w:szCs w:val="52"/>
                <w:lang w:eastAsia="zh-CN"/>
              </w:rPr>
              <w:t>福建省工业和信息化厅</w:t>
            </w:r>
            <w:bookmarkEnd w:id="0"/>
          </w:p>
        </w:tc>
        <w:tc>
          <w:tcPr>
            <w:tcW w:w="2218" w:type="dxa"/>
            <w:noWrap w:val="0"/>
            <w:vAlign w:val="center"/>
          </w:tcPr>
          <w:p>
            <w:pPr>
              <w:adjustRightInd w:val="0"/>
              <w:snapToGrid w:val="0"/>
              <w:spacing w:before="100" w:beforeAutospacing="1" w:after="100" w:afterAutospacing="1"/>
              <w:jc w:val="center"/>
              <w:textAlignment w:val="bottom"/>
              <w:rPr>
                <w:rFonts w:ascii="方正小标宋简体" w:eastAsia="方正小标宋简体"/>
                <w:b/>
                <w:bCs/>
                <w:sz w:val="84"/>
                <w:szCs w:val="84"/>
              </w:rPr>
            </w:pPr>
            <w:bookmarkStart w:id="1" w:name="PO_fhead2"/>
            <w:r>
              <w:rPr>
                <w:rFonts w:hint="eastAsia" w:ascii="方正小标宋简体" w:eastAsia="方正小标宋简体" w:cs="宋体"/>
                <w:b/>
                <w:bCs/>
                <w:color w:val="FF0000"/>
                <w:spacing w:val="52"/>
                <w:sz w:val="84"/>
                <w:szCs w:val="84"/>
              </w:rPr>
              <w:t>文件</w:t>
            </w:r>
            <w:bookmarkEnd w:id="1"/>
          </w:p>
        </w:tc>
      </w:tr>
      <w:tr>
        <w:tblPrEx>
          <w:tblCellMar>
            <w:top w:w="0" w:type="dxa"/>
            <w:left w:w="28" w:type="dxa"/>
            <w:bottom w:w="0" w:type="dxa"/>
            <w:right w:w="28" w:type="dxa"/>
          </w:tblCellMar>
        </w:tblPrEx>
        <w:trPr>
          <w:trHeight w:val="931" w:hRule="exact"/>
        </w:trPr>
        <w:tc>
          <w:tcPr>
            <w:tcW w:w="8920" w:type="dxa"/>
            <w:gridSpan w:val="2"/>
            <w:noWrap w:val="0"/>
            <w:vAlign w:val="bottom"/>
          </w:tcPr>
          <w:p>
            <w:pPr>
              <w:adjustRightInd w:val="0"/>
              <w:snapToGrid w:val="0"/>
              <w:spacing w:before="120" w:line="318" w:lineRule="atLeast"/>
              <w:ind w:right="339" w:firstLine="253" w:firstLineChars="80"/>
              <w:jc w:val="center"/>
              <w:textAlignment w:val="bottom"/>
              <w:rPr>
                <w:rFonts w:hint="eastAsia" w:ascii="仿宋" w:hAnsi="仿宋" w:eastAsia="仿宋"/>
                <w:lang w:val="en-US" w:eastAsia="zh-CN"/>
              </w:rPr>
            </w:pPr>
            <w:bookmarkStart w:id="2" w:name="PO_fwh"/>
            <w:r>
              <w:rPr>
                <w:rFonts w:hint="eastAsia" w:ascii="仿宋" w:hAnsi="仿宋" w:eastAsia="仿宋" w:cs="仿宋"/>
                <w:sz w:val="32"/>
                <w:szCs w:val="36"/>
                <w:lang w:eastAsia="zh-CN"/>
              </w:rPr>
              <w:t>闽财规〔2023〕13号</w:t>
            </w:r>
            <w:bookmarkEnd w:id="2"/>
          </w:p>
        </w:tc>
      </w:tr>
      <w:tr>
        <w:tblPrEx>
          <w:tblCellMar>
            <w:top w:w="0" w:type="dxa"/>
            <w:left w:w="28" w:type="dxa"/>
            <w:bottom w:w="0" w:type="dxa"/>
            <w:right w:w="28" w:type="dxa"/>
          </w:tblCellMar>
        </w:tblPrEx>
        <w:trPr>
          <w:trHeight w:val="92" w:hRule="exact"/>
        </w:trPr>
        <w:tc>
          <w:tcPr>
            <w:tcW w:w="8920" w:type="dxa"/>
            <w:gridSpan w:val="2"/>
            <w:noWrap w:val="0"/>
            <w:vAlign w:val="top"/>
          </w:tcPr>
          <w:p>
            <w:pPr>
              <w:adjustRightInd w:val="0"/>
              <w:snapToGrid w:val="0"/>
              <w:spacing w:line="240" w:lineRule="exact"/>
              <w:jc w:val="center"/>
              <w:rPr>
                <w:rFonts w:ascii="仿宋" w:hAnsi="仿宋" w:cs="宋体"/>
                <w:sz w:val="10"/>
                <w:szCs w:val="10"/>
              </w:rPr>
            </w:pPr>
            <w:bookmarkStart w:id="3" w:name="PO_fline"/>
            <w:r>
              <w:rPr>
                <w:rFonts w:ascii="仿宋" w:hAnsi="仿宋" w:cs="宋体"/>
                <w:sz w:val="10"/>
                <w:szCs w:val="10"/>
              </w:rPr>
              <w:pict>
                <v:line id="_x0000_s1026" o:spid="_x0000_s1026" o:spt="20" style="position:absolute;left:0pt;margin-top:5.65pt;height:0pt;width:441.05pt;mso-position-horizontal:center;mso-wrap-distance-left:9pt;mso-wrap-distance-right:9pt;z-index:-251657216;mso-width-relative:page;mso-height-relative:page;" filled="f" stroked="t" coordsize="21600,21600" wrapcoords="0 0 21600 0 0 0">
                  <v:path arrowok="t"/>
                  <v:fill on="f" focussize="0,0"/>
                  <v:stroke weight="3pt" color="#FF0000"/>
                  <v:imagedata o:title=""/>
                  <o:lock v:ext="edit"/>
                  <w10:wrap type="tight"/>
                </v:line>
              </w:pict>
            </w:r>
            <w:bookmarkEnd w:id="3"/>
          </w:p>
        </w:tc>
      </w:tr>
    </w:tbl>
    <w:p>
      <w:pPr>
        <w:rPr>
          <w:rFonts w:hint="eastAsia" w:ascii="仿宋" w:hAnsi="仿宋" w:eastAsia="仿宋"/>
          <w:sz w:val="32"/>
          <w:szCs w:val="32"/>
        </w:rPr>
      </w:pPr>
    </w:p>
    <w:p>
      <w:pPr>
        <w:snapToGrid w:val="0"/>
        <w:jc w:val="center"/>
        <w:rPr>
          <w:rFonts w:hint="eastAsia" w:ascii="方正小标宋简体" w:hAnsi="仿宋" w:eastAsia="方正小标宋简体"/>
          <w:sz w:val="44"/>
          <w:szCs w:val="44"/>
          <w:lang w:eastAsia="zh-CN"/>
        </w:rPr>
      </w:pPr>
      <w:bookmarkStart w:id="4" w:name="PO_fbt"/>
      <w:r>
        <w:rPr>
          <w:rFonts w:hint="eastAsia" w:ascii="方正小标宋简体" w:hAnsi="仿宋" w:eastAsia="方正小标宋简体"/>
          <w:sz w:val="44"/>
          <w:szCs w:val="44"/>
          <w:lang w:eastAsia="zh-CN"/>
        </w:rPr>
        <w:t>福建省财政厅 福建省工业和信息化厅关于</w:t>
      </w:r>
    </w:p>
    <w:p>
      <w:pPr>
        <w:snapToGrid w:val="0"/>
        <w:jc w:val="center"/>
        <w:rPr>
          <w:rFonts w:hint="eastAsia" w:ascii="方正小标宋简体" w:hAnsi="仿宋" w:eastAsia="方正小标宋简体"/>
          <w:sz w:val="44"/>
          <w:szCs w:val="44"/>
          <w:lang w:eastAsia="zh-CN"/>
        </w:rPr>
      </w:pPr>
      <w:r>
        <w:rPr>
          <w:rFonts w:hint="eastAsia" w:ascii="方正小标宋简体" w:hAnsi="仿宋" w:eastAsia="方正小标宋简体"/>
          <w:sz w:val="44"/>
          <w:szCs w:val="44"/>
          <w:lang w:eastAsia="zh-CN"/>
        </w:rPr>
        <w:t>印发《福建省省级中小微企业发展专项</w:t>
      </w:r>
    </w:p>
    <w:p>
      <w:pPr>
        <w:snapToGrid w:val="0"/>
        <w:jc w:val="center"/>
        <w:rPr>
          <w:rFonts w:hint="eastAsia" w:ascii="宋体" w:hAnsi="宋体" w:eastAsia="方正小标宋简体" w:cs="宋体"/>
          <w:sz w:val="44"/>
          <w:szCs w:val="44"/>
          <w:lang w:eastAsia="zh-CN"/>
        </w:rPr>
      </w:pPr>
      <w:r>
        <w:rPr>
          <w:rFonts w:hint="eastAsia" w:ascii="方正小标宋简体" w:hAnsi="仿宋" w:eastAsia="方正小标宋简体"/>
          <w:sz w:val="44"/>
          <w:szCs w:val="44"/>
          <w:lang w:eastAsia="zh-CN"/>
        </w:rPr>
        <w:t>资金管理办法》的通知</w:t>
      </w:r>
      <w:bookmarkEnd w:id="4"/>
    </w:p>
    <w:p>
      <w:pPr>
        <w:rPr>
          <w:rFonts w:hint="eastAsia" w:ascii="仿宋" w:hAnsi="仿宋" w:eastAsia="仿宋"/>
          <w:sz w:val="32"/>
          <w:szCs w:val="36"/>
        </w:rPr>
      </w:pPr>
    </w:p>
    <w:p>
      <w:pPr>
        <w:jc w:val="left"/>
      </w:pPr>
      <w:bookmarkStart w:id="5" w:name="PO_fzs"/>
      <w:r>
        <w:rPr>
          <w:rFonts w:hint="eastAsia" w:ascii="仿宋" w:hAnsi="仿宋" w:eastAsia="仿宋"/>
          <w:sz w:val="32"/>
          <w:szCs w:val="36"/>
          <w:lang w:eastAsia="zh-CN"/>
        </w:rPr>
        <w:t>各设区市财政局、工信局，平潭综合实验区财政金融局、经发局</w:t>
      </w:r>
      <w:bookmarkEnd w:id="5"/>
      <w:r>
        <w:rPr>
          <w:rFonts w:hint="eastAsia" w:ascii="仿宋" w:hAnsi="仿宋" w:eastAsia="仿宋"/>
          <w:sz w:val="32"/>
          <w:szCs w:val="36"/>
        </w:rPr>
        <w:t>：</w:t>
      </w:r>
    </w:p>
    <w:p>
      <w:pPr>
        <w:widowControl/>
        <w:ind w:firstLine="632" w:firstLineChars="200"/>
        <w:jc w:val="left"/>
        <w:rPr>
          <w:rFonts w:hint="eastAsia" w:ascii="仿宋" w:hAnsi="仿宋" w:eastAsia="仿宋" w:cs="仿宋"/>
          <w:color w:val="000000"/>
          <w:sz w:val="32"/>
          <w:szCs w:val="32"/>
        </w:rPr>
      </w:pPr>
      <w:bookmarkStart w:id="6" w:name="PO_zw"/>
      <w:bookmarkEnd w:id="6"/>
      <w:r>
        <w:rPr>
          <w:rFonts w:hint="eastAsia" w:ascii="仿宋" w:hAnsi="仿宋" w:eastAsia="仿宋"/>
          <w:bCs/>
          <w:color w:val="auto"/>
        </w:rPr>
        <w:t>现将</w:t>
      </w:r>
      <w:r>
        <w:rPr>
          <w:rFonts w:hint="eastAsia" w:ascii="仿宋" w:hAnsi="仿宋" w:eastAsia="仿宋" w:cs="仿宋"/>
          <w:bCs w:val="0"/>
          <w:kern w:val="2"/>
          <w:sz w:val="32"/>
          <w:szCs w:val="36"/>
          <w:u w:val="none"/>
          <w:lang w:val="en-US" w:eastAsia="zh-CN" w:bidi="ar-SA"/>
        </w:rPr>
        <w:t>《</w:t>
      </w:r>
      <w:r>
        <w:rPr>
          <w:rFonts w:hint="eastAsia" w:ascii="仿宋" w:hAnsi="仿宋" w:eastAsia="仿宋"/>
          <w:sz w:val="32"/>
          <w:szCs w:val="36"/>
          <w:lang w:eastAsia="zh-CN"/>
        </w:rPr>
        <w:t>福建省省级中小微企业发展专项资金管理办法</w:t>
      </w:r>
      <w:r>
        <w:rPr>
          <w:rFonts w:hint="eastAsia" w:ascii="仿宋" w:hAnsi="仿宋" w:eastAsia="仿宋" w:cs="仿宋"/>
          <w:bCs w:val="0"/>
          <w:kern w:val="2"/>
          <w:sz w:val="32"/>
          <w:szCs w:val="36"/>
          <w:u w:val="none"/>
          <w:lang w:val="en-US" w:eastAsia="zh-CN" w:bidi="ar-SA"/>
        </w:rPr>
        <w:t>》</w:t>
      </w:r>
      <w:r>
        <w:rPr>
          <w:rFonts w:hint="eastAsia" w:ascii="仿宋" w:hAnsi="仿宋" w:eastAsia="仿宋" w:cs="仿宋"/>
          <w:bCs/>
          <w:color w:val="auto"/>
          <w:kern w:val="2"/>
          <w:sz w:val="32"/>
          <w:szCs w:val="32"/>
          <w:u w:val="none"/>
          <w:lang w:val="en-US" w:eastAsia="zh-CN" w:bidi="ar-SA"/>
        </w:rPr>
        <w:t>印发给你们，请遵照执行。</w:t>
      </w:r>
      <w:bookmarkStart w:id="7" w:name="PO_ffj"/>
      <w:bookmarkEnd w:id="7"/>
    </w:p>
    <w:tbl>
      <w:tblPr>
        <w:tblStyle w:val="5"/>
        <w:tblW w:w="5000" w:type="pct"/>
        <w:tblInd w:w="0" w:type="dxa"/>
        <w:tblLayout w:type="autofit"/>
        <w:tblCellMar>
          <w:top w:w="0" w:type="dxa"/>
          <w:left w:w="108" w:type="dxa"/>
          <w:bottom w:w="0" w:type="dxa"/>
          <w:right w:w="108" w:type="dxa"/>
        </w:tblCellMar>
      </w:tblPr>
      <w:tblGrid>
        <w:gridCol w:w="4530"/>
        <w:gridCol w:w="4531"/>
      </w:tblGrid>
      <w:tr>
        <w:tblPrEx>
          <w:tblCellMar>
            <w:top w:w="0" w:type="dxa"/>
            <w:left w:w="108" w:type="dxa"/>
            <w:bottom w:w="0" w:type="dxa"/>
            <w:right w:w="108" w:type="dxa"/>
          </w:tblCellMar>
        </w:tblPrEx>
        <w:trPr>
          <w:trHeight w:val="624" w:hRule="atLeast"/>
        </w:trPr>
        <w:tc>
          <w:tcPr>
            <w:tcW w:w="2500" w:type="pct"/>
            <w:noWrap w:val="0"/>
            <w:vAlign w:val="center"/>
          </w:tcPr>
          <w:p>
            <w:pPr>
              <w:spacing w:line="560" w:lineRule="exact"/>
              <w:jc w:val="center"/>
              <w:rPr>
                <w:rFonts w:hint="eastAsia" w:ascii="仿宋" w:hAnsi="仿宋" w:eastAsia="仿宋" w:cs="仿宋"/>
                <w:color w:val="000000"/>
                <w:sz w:val="32"/>
                <w:szCs w:val="32"/>
              </w:rPr>
            </w:pPr>
            <w:bookmarkStart w:id="8" w:name="PO_fyz"/>
            <w:bookmarkEnd w:id="8"/>
          </w:p>
          <w:p>
            <w:pPr>
              <w:spacing w:line="560" w:lineRule="exact"/>
              <w:jc w:val="center"/>
              <w:rPr>
                <w:rFonts w:hint="eastAsia" w:ascii="仿宋" w:hAnsi="仿宋" w:eastAsia="仿宋" w:cs="仿宋"/>
                <w:color w:val="000000"/>
                <w:sz w:val="32"/>
                <w:szCs w:val="32"/>
                <w:lang w:eastAsia="zh-CN"/>
              </w:rPr>
            </w:pPr>
            <w:bookmarkStart w:id="9" w:name="PO_fsm1"/>
            <w:r>
              <w:rPr>
                <w:rFonts w:hint="eastAsia" w:ascii="仿宋" w:hAnsi="仿宋" w:eastAsia="仿宋" w:cs="仿宋"/>
                <w:color w:val="000000"/>
                <w:sz w:val="32"/>
                <w:szCs w:val="32"/>
                <w:lang w:eastAsia="zh-CN"/>
              </w:rPr>
              <w:t>福建省财政厅</w:t>
            </w:r>
            <w:bookmarkEnd w:id="9"/>
          </w:p>
        </w:tc>
        <w:tc>
          <w:tcPr>
            <w:tcW w:w="2500" w:type="pct"/>
            <w:noWrap w:val="0"/>
            <w:vAlign w:val="center"/>
          </w:tcPr>
          <w:p>
            <w:pPr>
              <w:spacing w:line="560" w:lineRule="exact"/>
              <w:jc w:val="center"/>
              <w:rPr>
                <w:rFonts w:hint="eastAsia" w:ascii="仿宋" w:hAnsi="仿宋" w:eastAsia="仿宋" w:cs="仿宋"/>
                <w:color w:val="000000"/>
                <w:sz w:val="32"/>
                <w:szCs w:val="32"/>
              </w:rPr>
            </w:pPr>
          </w:p>
          <w:p>
            <w:pPr>
              <w:spacing w:line="560" w:lineRule="exact"/>
              <w:jc w:val="center"/>
              <w:rPr>
                <w:rFonts w:hint="eastAsia" w:ascii="仿宋" w:hAnsi="仿宋" w:eastAsia="仿宋" w:cs="仿宋"/>
                <w:color w:val="000000"/>
                <w:sz w:val="32"/>
                <w:szCs w:val="32"/>
              </w:rPr>
            </w:pPr>
            <w:bookmarkStart w:id="10" w:name="PO_fsm2"/>
            <w:r>
              <w:rPr>
                <w:rFonts w:hint="eastAsia" w:ascii="仿宋" w:hAnsi="仿宋" w:eastAsia="仿宋" w:cs="仿宋"/>
                <w:color w:val="000000"/>
                <w:sz w:val="32"/>
                <w:szCs w:val="32"/>
                <w:lang w:val="en-US" w:eastAsia="zh-CN"/>
              </w:rPr>
              <w:t>福建省工业和信息化厅</w:t>
            </w:r>
            <w:bookmarkEnd w:id="10"/>
          </w:p>
        </w:tc>
      </w:tr>
      <w:tr>
        <w:tblPrEx>
          <w:tblCellMar>
            <w:top w:w="0" w:type="dxa"/>
            <w:left w:w="108" w:type="dxa"/>
            <w:bottom w:w="0" w:type="dxa"/>
            <w:right w:w="108" w:type="dxa"/>
          </w:tblCellMar>
        </w:tblPrEx>
        <w:trPr>
          <w:trHeight w:val="308" w:hRule="atLeast"/>
        </w:trPr>
        <w:tc>
          <w:tcPr>
            <w:tcW w:w="5000" w:type="pct"/>
            <w:gridSpan w:val="2"/>
            <w:noWrap w:val="0"/>
            <w:vAlign w:val="bottom"/>
          </w:tcPr>
          <w:p>
            <w:pPr>
              <w:keepNext w:val="0"/>
              <w:keepLines w:val="0"/>
              <w:pageBreakBefore w:val="0"/>
              <w:widowControl w:val="0"/>
              <w:kinsoku/>
              <w:wordWrap w:val="0"/>
              <w:overflowPunct/>
              <w:topLinePunct w:val="0"/>
              <w:autoSpaceDE/>
              <w:autoSpaceDN/>
              <w:bidi w:val="0"/>
              <w:adjustRightInd/>
              <w:snapToGrid/>
              <w:spacing w:line="560" w:lineRule="exact"/>
              <w:ind w:right="0" w:rightChars="0"/>
              <w:jc w:val="right"/>
              <w:textAlignment w:val="auto"/>
              <w:rPr>
                <w:rFonts w:hint="default" w:ascii="仿宋" w:hAnsi="仿宋" w:eastAsia="仿宋" w:cs="仿宋"/>
                <w:color w:val="000000"/>
                <w:sz w:val="32"/>
                <w:szCs w:val="32"/>
                <w:lang w:val="en-US"/>
              </w:rPr>
            </w:pPr>
            <w:bookmarkStart w:id="11" w:name="PO_fqfrq"/>
            <w:r>
              <w:rPr>
                <w:rFonts w:hint="eastAsia" w:ascii="仿宋" w:hAnsi="仿宋" w:eastAsia="仿宋" w:cs="仿宋"/>
                <w:color w:val="000000"/>
                <w:sz w:val="32"/>
                <w:szCs w:val="32"/>
                <w:lang w:val="en-US" w:eastAsia="zh-CN"/>
              </w:rPr>
              <w:t>2023年7月28日</w:t>
            </w:r>
            <w:bookmarkEnd w:id="11"/>
            <w:r>
              <w:rPr>
                <w:rFonts w:hint="eastAsia" w:ascii="仿宋" w:hAnsi="仿宋" w:eastAsia="仿宋" w:cs="仿宋"/>
                <w:color w:val="000000"/>
                <w:sz w:val="32"/>
                <w:szCs w:val="32"/>
                <w:lang w:val="en-US" w:eastAsia="zh-CN"/>
              </w:rPr>
              <w:t xml:space="preserve">       </w:t>
            </w:r>
          </w:p>
        </w:tc>
      </w:tr>
    </w:tbl>
    <w:p>
      <w:pPr>
        <w:widowControl/>
        <w:spacing w:line="516" w:lineRule="atLeast"/>
        <w:jc w:val="center"/>
        <w:rPr>
          <w:rFonts w:hint="eastAsia" w:ascii="方正大标宋简体" w:hAnsi="方正大标宋简体" w:eastAsia="方正大标宋简体" w:cs="方正大标宋简体"/>
          <w:b w:val="0"/>
          <w:bCs w:val="0"/>
          <w:color w:val="333333"/>
          <w:kern w:val="0"/>
          <w:sz w:val="44"/>
          <w:szCs w:val="44"/>
        </w:rPr>
      </w:pPr>
      <w:r>
        <w:rPr>
          <w:rFonts w:hint="eastAsia" w:ascii="方正大标宋简体" w:hAnsi="方正大标宋简体" w:eastAsia="方正大标宋简体" w:cs="方正大标宋简体"/>
          <w:b w:val="0"/>
          <w:bCs w:val="0"/>
          <w:color w:val="333333"/>
          <w:kern w:val="0"/>
          <w:sz w:val="44"/>
          <w:szCs w:val="44"/>
        </w:rPr>
        <w:t>福建省省级中小微企业发展</w:t>
      </w:r>
    </w:p>
    <w:p>
      <w:pPr>
        <w:widowControl/>
        <w:spacing w:line="516" w:lineRule="atLeast"/>
        <w:jc w:val="center"/>
        <w:rPr>
          <w:rFonts w:hint="eastAsia" w:ascii="方正大标宋简体" w:hAnsi="方正大标宋简体" w:eastAsia="方正大标宋简体" w:cs="方正大标宋简体"/>
          <w:b w:val="0"/>
          <w:bCs w:val="0"/>
          <w:color w:val="333333"/>
          <w:kern w:val="0"/>
          <w:sz w:val="44"/>
          <w:szCs w:val="44"/>
        </w:rPr>
      </w:pPr>
      <w:r>
        <w:rPr>
          <w:rFonts w:hint="eastAsia" w:ascii="方正大标宋简体" w:hAnsi="方正大标宋简体" w:eastAsia="方正大标宋简体" w:cs="方正大标宋简体"/>
          <w:b w:val="0"/>
          <w:bCs w:val="0"/>
          <w:color w:val="333333"/>
          <w:kern w:val="0"/>
          <w:sz w:val="44"/>
          <w:szCs w:val="44"/>
        </w:rPr>
        <w:t>专项资金管理办法</w:t>
      </w:r>
    </w:p>
    <w:p>
      <w:pPr>
        <w:widowControl/>
        <w:jc w:val="both"/>
        <w:rPr>
          <w:rFonts w:ascii="simsun" w:hAnsi="simsun" w:cs="宋体"/>
          <w:color w:val="333333"/>
          <w:kern w:val="0"/>
          <w:sz w:val="32"/>
          <w:szCs w:val="32"/>
        </w:rPr>
      </w:pPr>
      <w:r>
        <w:rPr>
          <w:rFonts w:ascii="simsun" w:hAnsi="simsun" w:cs="宋体"/>
          <w:color w:val="333333"/>
          <w:kern w:val="0"/>
          <w:sz w:val="32"/>
          <w:szCs w:val="32"/>
        </w:rPr>
        <w:t> </w:t>
      </w:r>
    </w:p>
    <w:p>
      <w:pPr>
        <w:widowControl/>
        <w:jc w:val="both"/>
        <w:rPr>
          <w:rFonts w:hint="eastAsia" w:ascii="仿宋" w:hAnsi="仿宋" w:eastAsia="仿宋" w:cs="仿宋"/>
          <w:color w:val="333333"/>
          <w:kern w:val="0"/>
          <w:sz w:val="32"/>
          <w:szCs w:val="32"/>
        </w:rPr>
      </w:pPr>
      <w:r>
        <w:rPr>
          <w:rFonts w:hint="eastAsia" w:ascii="楷体" w:hAnsi="楷体" w:eastAsia="楷体" w:cs="宋体"/>
          <w:color w:val="333333"/>
          <w:kern w:val="0"/>
          <w:sz w:val="32"/>
          <w:szCs w:val="32"/>
        </w:rPr>
        <w:t>　　</w:t>
      </w:r>
      <w:r>
        <w:rPr>
          <w:rFonts w:hint="eastAsia" w:ascii="仿宋" w:hAnsi="仿宋" w:eastAsia="仿宋" w:cs="仿宋"/>
          <w:b/>
          <w:bCs/>
          <w:color w:val="333333"/>
          <w:kern w:val="0"/>
          <w:sz w:val="32"/>
          <w:szCs w:val="32"/>
        </w:rPr>
        <w:t>第一条</w:t>
      </w:r>
      <w:r>
        <w:rPr>
          <w:rFonts w:hint="eastAsia" w:ascii="仿宋" w:hAnsi="仿宋" w:eastAsia="仿宋" w:cs="仿宋"/>
          <w:color w:val="333333"/>
          <w:kern w:val="0"/>
          <w:sz w:val="32"/>
          <w:szCs w:val="32"/>
        </w:rPr>
        <w:t> </w:t>
      </w: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为</w:t>
      </w:r>
      <w:r>
        <w:rPr>
          <w:rFonts w:hint="eastAsia" w:ascii="仿宋" w:hAnsi="仿宋" w:eastAsia="仿宋" w:cs="仿宋"/>
          <w:color w:val="333333"/>
          <w:kern w:val="0"/>
          <w:sz w:val="32"/>
          <w:szCs w:val="32"/>
          <w:lang w:eastAsia="zh-CN"/>
        </w:rPr>
        <w:t>加强和</w:t>
      </w:r>
      <w:r>
        <w:rPr>
          <w:rFonts w:hint="eastAsia" w:ascii="仿宋" w:hAnsi="仿宋" w:eastAsia="仿宋" w:cs="仿宋"/>
          <w:color w:val="333333"/>
          <w:kern w:val="0"/>
          <w:sz w:val="32"/>
          <w:szCs w:val="32"/>
        </w:rPr>
        <w:t>规范我省省级中小微企业发展专项资金管理，提高资金使用效益，根据</w:t>
      </w:r>
      <w:r>
        <w:rPr>
          <w:rFonts w:hint="eastAsia" w:ascii="仿宋" w:hAnsi="仿宋" w:eastAsia="仿宋" w:cs="仿宋"/>
          <w:color w:val="333333"/>
          <w:kern w:val="0"/>
          <w:sz w:val="32"/>
          <w:szCs w:val="32"/>
          <w:lang w:eastAsia="zh-CN"/>
        </w:rPr>
        <w:t>《中华人民共和国预算法》</w:t>
      </w:r>
      <w:r>
        <w:rPr>
          <w:rFonts w:hint="eastAsia" w:ascii="仿宋" w:hAnsi="仿宋" w:eastAsia="仿宋" w:cs="仿宋"/>
          <w:color w:val="333333"/>
          <w:kern w:val="0"/>
          <w:sz w:val="32"/>
          <w:szCs w:val="32"/>
        </w:rPr>
        <w:t>《中华人民共和国中小企业促进法》《福建省促进中小企业发展条例》《福建省省级财政专项资金管理办法》及有关规定，制定本办法。</w:t>
      </w:r>
    </w:p>
    <w:p>
      <w:pPr>
        <w:widowControl/>
        <w:ind w:firstLine="562"/>
        <w:jc w:val="both"/>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rPr>
        <w:t>第二条</w:t>
      </w:r>
      <w:r>
        <w:rPr>
          <w:rFonts w:hint="eastAsia" w:ascii="仿宋" w:hAnsi="仿宋" w:eastAsia="仿宋" w:cs="仿宋"/>
          <w:color w:val="333333"/>
          <w:kern w:val="0"/>
          <w:sz w:val="32"/>
          <w:szCs w:val="32"/>
        </w:rPr>
        <w:t> </w:t>
      </w: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本办法所称省级中小微企业发展专项资金（以下简称“专项资金”）是指</w:t>
      </w:r>
      <w:r>
        <w:rPr>
          <w:rFonts w:hint="eastAsia" w:ascii="仿宋" w:hAnsi="仿宋" w:eastAsia="仿宋" w:cs="仿宋"/>
          <w:color w:val="333333"/>
          <w:kern w:val="0"/>
          <w:sz w:val="32"/>
          <w:szCs w:val="32"/>
          <w:lang w:eastAsia="zh-CN"/>
        </w:rPr>
        <w:t>根据</w:t>
      </w:r>
      <w:r>
        <w:rPr>
          <w:rFonts w:hint="eastAsia" w:ascii="仿宋" w:hAnsi="仿宋" w:eastAsia="仿宋" w:cs="仿宋"/>
          <w:color w:val="333333"/>
          <w:kern w:val="0"/>
          <w:sz w:val="32"/>
          <w:szCs w:val="32"/>
        </w:rPr>
        <w:t>《中华人民共和国中小企业促进法》</w:t>
      </w:r>
      <w:r>
        <w:rPr>
          <w:rFonts w:hint="eastAsia" w:ascii="仿宋" w:hAnsi="仿宋" w:eastAsia="仿宋" w:cs="仿宋"/>
          <w:color w:val="333333"/>
          <w:kern w:val="0"/>
          <w:sz w:val="32"/>
          <w:szCs w:val="32"/>
          <w:lang w:eastAsia="zh-CN"/>
        </w:rPr>
        <w:t>，</w:t>
      </w:r>
      <w:r>
        <w:rPr>
          <w:rFonts w:hint="eastAsia" w:ascii="仿宋" w:hAnsi="仿宋" w:eastAsia="仿宋" w:cs="仿宋"/>
          <w:color w:val="333333"/>
          <w:kern w:val="0"/>
          <w:sz w:val="32"/>
          <w:szCs w:val="32"/>
        </w:rPr>
        <w:t>省级财政预算安排用于优化我省中小微企业发展环境，促进我省中小微企业发展的纳入福建省工信厅部门预算的专项资金。</w:t>
      </w:r>
    </w:p>
    <w:p>
      <w:pPr>
        <w:widowControl/>
        <w:ind w:firstLine="632" w:firstLineChars="200"/>
        <w:jc w:val="both"/>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中小微企业划型标准按照《工业和信息化部 国家统计局 国家发展和改革委 财政部关于印发中小企业划型标准规定的通知》（工信部联企业〔2011〕300号）执行，国家有关部委修订相关划型标准的，依照新规执行。</w:t>
      </w:r>
    </w:p>
    <w:p>
      <w:pPr>
        <w:widowControl/>
        <w:jc w:val="both"/>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r>
        <w:rPr>
          <w:rFonts w:hint="eastAsia" w:ascii="仿宋" w:hAnsi="仿宋" w:eastAsia="仿宋" w:cs="仿宋"/>
          <w:b/>
          <w:bCs/>
          <w:color w:val="333333"/>
          <w:kern w:val="0"/>
          <w:sz w:val="32"/>
          <w:szCs w:val="32"/>
        </w:rPr>
        <w:t>　第三条 </w:t>
      </w:r>
      <w:r>
        <w:rPr>
          <w:rFonts w:hint="eastAsia" w:ascii="仿宋" w:hAnsi="仿宋" w:eastAsia="仿宋" w:cs="仿宋"/>
          <w:b/>
          <w:bCs/>
          <w:color w:val="333333"/>
          <w:kern w:val="0"/>
          <w:sz w:val="32"/>
          <w:szCs w:val="32"/>
          <w:lang w:val="en-US" w:eastAsia="zh-CN"/>
        </w:rPr>
        <w:t xml:space="preserve"> </w:t>
      </w:r>
      <w:r>
        <w:rPr>
          <w:rFonts w:hint="eastAsia" w:ascii="仿宋" w:hAnsi="仿宋" w:eastAsia="仿宋" w:cs="仿宋"/>
          <w:color w:val="333333"/>
          <w:kern w:val="0"/>
          <w:sz w:val="32"/>
          <w:szCs w:val="32"/>
        </w:rPr>
        <w:t>专项资金的</w:t>
      </w:r>
      <w:r>
        <w:rPr>
          <w:rFonts w:hint="eastAsia" w:ascii="仿宋" w:hAnsi="仿宋" w:eastAsia="仿宋" w:cs="仿宋"/>
          <w:color w:val="333333"/>
          <w:kern w:val="0"/>
          <w:sz w:val="32"/>
          <w:szCs w:val="32"/>
          <w:lang w:eastAsia="zh-CN"/>
        </w:rPr>
        <w:t>使用</w:t>
      </w:r>
      <w:r>
        <w:rPr>
          <w:rFonts w:hint="eastAsia" w:ascii="仿宋" w:hAnsi="仿宋" w:eastAsia="仿宋" w:cs="仿宋"/>
          <w:color w:val="333333"/>
          <w:kern w:val="0"/>
          <w:sz w:val="32"/>
          <w:szCs w:val="32"/>
        </w:rPr>
        <w:t>应当遵循</w:t>
      </w:r>
      <w:r>
        <w:rPr>
          <w:rFonts w:hint="eastAsia" w:ascii="仿宋" w:hAnsi="仿宋" w:eastAsia="仿宋" w:cs="仿宋"/>
          <w:color w:val="333333"/>
          <w:kern w:val="0"/>
          <w:sz w:val="32"/>
          <w:szCs w:val="32"/>
          <w:lang w:eastAsia="zh-CN"/>
        </w:rPr>
        <w:t>科学合理</w:t>
      </w:r>
      <w:r>
        <w:rPr>
          <w:rFonts w:hint="eastAsia" w:ascii="仿宋" w:hAnsi="仿宋" w:eastAsia="仿宋" w:cs="仿宋"/>
          <w:color w:val="333333"/>
          <w:kern w:val="0"/>
          <w:sz w:val="32"/>
          <w:szCs w:val="32"/>
        </w:rPr>
        <w:t>、突出重点、</w:t>
      </w:r>
      <w:r>
        <w:rPr>
          <w:rFonts w:hint="eastAsia" w:ascii="仿宋" w:hAnsi="仿宋" w:eastAsia="仿宋" w:cs="仿宋"/>
          <w:color w:val="333333"/>
          <w:kern w:val="0"/>
          <w:sz w:val="32"/>
          <w:szCs w:val="32"/>
          <w:lang w:eastAsia="zh-CN"/>
        </w:rPr>
        <w:t>规范执行、</w:t>
      </w:r>
      <w:r>
        <w:rPr>
          <w:rFonts w:hint="eastAsia" w:ascii="仿宋" w:hAnsi="仿宋" w:eastAsia="仿宋" w:cs="仿宋"/>
          <w:color w:val="333333"/>
          <w:kern w:val="0"/>
          <w:sz w:val="32"/>
          <w:szCs w:val="32"/>
        </w:rPr>
        <w:t>加强监督</w:t>
      </w:r>
      <w:r>
        <w:rPr>
          <w:rFonts w:hint="eastAsia" w:ascii="仿宋" w:hAnsi="仿宋" w:eastAsia="仿宋" w:cs="仿宋"/>
          <w:color w:val="333333"/>
          <w:kern w:val="0"/>
          <w:sz w:val="32"/>
          <w:szCs w:val="32"/>
          <w:lang w:eastAsia="zh-CN"/>
        </w:rPr>
        <w:t>、注重绩效</w:t>
      </w:r>
      <w:r>
        <w:rPr>
          <w:rFonts w:hint="eastAsia" w:ascii="仿宋" w:hAnsi="仿宋" w:eastAsia="仿宋" w:cs="仿宋"/>
          <w:color w:val="333333"/>
          <w:kern w:val="0"/>
          <w:sz w:val="32"/>
          <w:szCs w:val="32"/>
        </w:rPr>
        <w:t>的原则。</w:t>
      </w:r>
    </w:p>
    <w:p>
      <w:pPr>
        <w:widowControl/>
        <w:jc w:val="both"/>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w:t>
      </w:r>
      <w:r>
        <w:rPr>
          <w:rFonts w:hint="eastAsia" w:ascii="仿宋" w:hAnsi="仿宋" w:eastAsia="仿宋" w:cs="仿宋"/>
          <w:b/>
          <w:bCs/>
          <w:color w:val="333333"/>
          <w:kern w:val="0"/>
          <w:sz w:val="32"/>
          <w:szCs w:val="32"/>
        </w:rPr>
        <w:t>第四条</w:t>
      </w:r>
      <w:r>
        <w:rPr>
          <w:rFonts w:hint="eastAsia" w:ascii="仿宋" w:hAnsi="仿宋" w:eastAsia="仿宋" w:cs="仿宋"/>
          <w:color w:val="333333"/>
          <w:kern w:val="0"/>
          <w:sz w:val="32"/>
          <w:szCs w:val="32"/>
        </w:rPr>
        <w:t> </w:t>
      </w: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专项资金旨在引领带动各设区市</w:t>
      </w:r>
      <w:r>
        <w:rPr>
          <w:rFonts w:hint="eastAsia" w:ascii="仿宋" w:hAnsi="仿宋" w:eastAsia="仿宋" w:cs="仿宋"/>
          <w:color w:val="333333"/>
          <w:kern w:val="0"/>
          <w:sz w:val="32"/>
          <w:szCs w:val="32"/>
          <w:lang w:eastAsia="zh-CN"/>
        </w:rPr>
        <w:t>、平潭综合实验区</w:t>
      </w:r>
      <w:r>
        <w:rPr>
          <w:rFonts w:hint="eastAsia" w:ascii="仿宋" w:hAnsi="仿宋" w:eastAsia="仿宋" w:cs="仿宋"/>
          <w:color w:val="333333"/>
          <w:kern w:val="0"/>
          <w:sz w:val="32"/>
          <w:szCs w:val="32"/>
        </w:rPr>
        <w:t>积极探索政府扶持中小微企业发展的有效途径，支持改善中小微企业发展环境，加大对薄弱环节的投入，促进提升为中小微企业提供公共服务的能力，突破制约中小微企业发展的短板与瓶颈，建立扶持中小微企业发展的长效机制。</w:t>
      </w:r>
    </w:p>
    <w:p>
      <w:pPr>
        <w:widowControl/>
        <w:ind w:firstLine="632" w:firstLineChars="200"/>
        <w:jc w:val="both"/>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rPr>
        <w:t>第五条</w:t>
      </w:r>
      <w:r>
        <w:rPr>
          <w:rFonts w:hint="eastAsia" w:ascii="仿宋" w:hAnsi="仿宋" w:eastAsia="仿宋" w:cs="仿宋"/>
          <w:color w:val="333333"/>
          <w:kern w:val="0"/>
          <w:sz w:val="32"/>
          <w:szCs w:val="32"/>
        </w:rPr>
        <w:t> </w:t>
      </w: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专项资金由财政部门和工信部门</w:t>
      </w:r>
      <w:r>
        <w:rPr>
          <w:rFonts w:hint="eastAsia" w:ascii="仿宋" w:hAnsi="仿宋" w:eastAsia="仿宋" w:cs="仿宋"/>
          <w:color w:val="333333"/>
          <w:kern w:val="0"/>
          <w:sz w:val="32"/>
          <w:szCs w:val="32"/>
          <w:lang w:eastAsia="zh-CN"/>
        </w:rPr>
        <w:t>按下列职责分工进行管理</w:t>
      </w:r>
      <w:r>
        <w:rPr>
          <w:rFonts w:hint="eastAsia" w:ascii="仿宋" w:hAnsi="仿宋" w:eastAsia="仿宋" w:cs="仿宋"/>
          <w:color w:val="333333"/>
          <w:kern w:val="0"/>
          <w:sz w:val="32"/>
          <w:szCs w:val="32"/>
        </w:rPr>
        <w:t>。</w:t>
      </w:r>
    </w:p>
    <w:p>
      <w:pPr>
        <w:widowControl/>
        <w:ind w:firstLine="560"/>
        <w:jc w:val="both"/>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省财政厅负责组织专项资金预算的编制和执行，会同省工信厅拨付下达资金，监督专项资金支出活动，组织</w:t>
      </w:r>
      <w:r>
        <w:rPr>
          <w:rFonts w:hint="eastAsia" w:ascii="仿宋" w:hAnsi="仿宋" w:eastAsia="仿宋" w:cs="仿宋"/>
          <w:color w:val="333333"/>
          <w:kern w:val="0"/>
          <w:sz w:val="32"/>
          <w:szCs w:val="32"/>
          <w:lang w:eastAsia="zh-CN"/>
        </w:rPr>
        <w:t>开展</w:t>
      </w:r>
      <w:r>
        <w:rPr>
          <w:rFonts w:hint="eastAsia" w:ascii="仿宋" w:hAnsi="仿宋" w:eastAsia="仿宋" w:cs="仿宋"/>
          <w:color w:val="333333"/>
          <w:kern w:val="0"/>
          <w:sz w:val="32"/>
          <w:szCs w:val="32"/>
        </w:rPr>
        <w:t>预算绩效管理</w:t>
      </w:r>
      <w:r>
        <w:rPr>
          <w:rFonts w:hint="eastAsia" w:ascii="仿宋" w:hAnsi="仿宋" w:eastAsia="仿宋" w:cs="仿宋"/>
          <w:color w:val="333333"/>
          <w:kern w:val="0"/>
          <w:sz w:val="32"/>
          <w:szCs w:val="32"/>
          <w:lang w:eastAsia="zh-CN"/>
        </w:rPr>
        <w:t>，强化绩效结果应用</w:t>
      </w:r>
      <w:r>
        <w:rPr>
          <w:rFonts w:hint="eastAsia" w:ascii="仿宋" w:hAnsi="仿宋" w:eastAsia="仿宋" w:cs="仿宋"/>
          <w:color w:val="333333"/>
          <w:kern w:val="0"/>
          <w:sz w:val="32"/>
          <w:szCs w:val="32"/>
        </w:rPr>
        <w:t>。</w:t>
      </w:r>
    </w:p>
    <w:p>
      <w:pPr>
        <w:widowControl/>
        <w:ind w:firstLine="560"/>
        <w:jc w:val="both"/>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省工信厅负责研究提出专项资金支持方向，提出专项资金绩效目标并按确定的绩效目标对专项资金实施绩效监控</w:t>
      </w:r>
      <w:r>
        <w:rPr>
          <w:rFonts w:hint="eastAsia" w:ascii="仿宋" w:hAnsi="仿宋" w:eastAsia="仿宋" w:cs="仿宋"/>
          <w:color w:val="333333"/>
          <w:kern w:val="0"/>
          <w:sz w:val="32"/>
          <w:szCs w:val="32"/>
          <w:lang w:eastAsia="zh-CN"/>
        </w:rPr>
        <w:t>，开展</w:t>
      </w:r>
      <w:r>
        <w:rPr>
          <w:rFonts w:hint="eastAsia" w:ascii="仿宋" w:hAnsi="仿宋" w:eastAsia="仿宋" w:cs="仿宋"/>
          <w:color w:val="333333"/>
          <w:kern w:val="0"/>
          <w:sz w:val="32"/>
          <w:szCs w:val="32"/>
        </w:rPr>
        <w:t>绩效评价，加强绩效结果应用，落实</w:t>
      </w:r>
      <w:r>
        <w:rPr>
          <w:rFonts w:hint="eastAsia" w:ascii="仿宋" w:hAnsi="仿宋" w:eastAsia="仿宋" w:cs="仿宋"/>
          <w:color w:val="333333"/>
          <w:kern w:val="0"/>
          <w:sz w:val="32"/>
          <w:szCs w:val="32"/>
          <w:lang w:eastAsia="zh-CN"/>
        </w:rPr>
        <w:t>专项</w:t>
      </w:r>
      <w:r>
        <w:rPr>
          <w:rFonts w:hint="eastAsia" w:ascii="仿宋" w:hAnsi="仿宋" w:eastAsia="仿宋" w:cs="仿宋"/>
          <w:color w:val="333333"/>
          <w:kern w:val="0"/>
          <w:sz w:val="32"/>
          <w:szCs w:val="32"/>
        </w:rPr>
        <w:t>资金绩效管理主体责任，对申请使用专项资金的申报材料组织审核，提出专项资金的分配方案。</w:t>
      </w:r>
    </w:p>
    <w:p>
      <w:pPr>
        <w:widowControl/>
        <w:ind w:firstLine="562"/>
        <w:jc w:val="both"/>
        <w:rPr>
          <w:rFonts w:hint="eastAsia" w:ascii="仿宋" w:hAnsi="仿宋" w:eastAsia="仿宋" w:cs="仿宋"/>
          <w:color w:val="333333"/>
          <w:kern w:val="0"/>
          <w:sz w:val="32"/>
          <w:szCs w:val="32"/>
          <w:lang w:eastAsia="zh-CN"/>
        </w:rPr>
      </w:pPr>
      <w:r>
        <w:rPr>
          <w:rFonts w:hint="eastAsia" w:ascii="仿宋" w:hAnsi="仿宋" w:eastAsia="仿宋" w:cs="仿宋"/>
          <w:color w:val="333333"/>
          <w:kern w:val="0"/>
          <w:sz w:val="32"/>
          <w:szCs w:val="32"/>
        </w:rPr>
        <w:t>各设区市、平潭综合实验区财政部门负责</w:t>
      </w:r>
      <w:r>
        <w:rPr>
          <w:rFonts w:hint="eastAsia" w:ascii="仿宋" w:hAnsi="仿宋" w:eastAsia="仿宋" w:cs="仿宋"/>
          <w:color w:val="333333"/>
          <w:kern w:val="0"/>
          <w:sz w:val="32"/>
          <w:szCs w:val="32"/>
          <w:lang w:eastAsia="zh-CN"/>
        </w:rPr>
        <w:t>组织转移支付资金预算的编制和执行，对资金支出进行监督并组织开展预算绩效管理工作。</w:t>
      </w:r>
    </w:p>
    <w:p>
      <w:pPr>
        <w:widowControl/>
        <w:ind w:firstLine="562"/>
        <w:jc w:val="both"/>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各设区市、平潭综合实验区工信部门</w:t>
      </w:r>
      <w:r>
        <w:rPr>
          <w:rFonts w:hint="eastAsia" w:ascii="仿宋" w:hAnsi="仿宋" w:eastAsia="仿宋" w:cs="仿宋"/>
          <w:color w:val="333333"/>
          <w:kern w:val="0"/>
          <w:sz w:val="32"/>
          <w:szCs w:val="32"/>
          <w:lang w:eastAsia="zh-CN"/>
        </w:rPr>
        <w:t>负责编制转移支付资金支出预算，</w:t>
      </w:r>
      <w:r>
        <w:rPr>
          <w:rFonts w:hint="eastAsia" w:ascii="仿宋" w:hAnsi="仿宋" w:eastAsia="仿宋" w:cs="仿宋"/>
          <w:color w:val="333333"/>
          <w:kern w:val="0"/>
          <w:sz w:val="32"/>
          <w:szCs w:val="32"/>
        </w:rPr>
        <w:t>结合本地区实际，按照相关规定</w:t>
      </w:r>
      <w:r>
        <w:rPr>
          <w:rFonts w:hint="eastAsia" w:ascii="仿宋" w:hAnsi="仿宋" w:eastAsia="仿宋" w:cs="仿宋"/>
          <w:color w:val="333333"/>
          <w:kern w:val="0"/>
          <w:sz w:val="32"/>
          <w:szCs w:val="32"/>
          <w:lang w:eastAsia="zh-CN"/>
        </w:rPr>
        <w:t>组织项目</w:t>
      </w:r>
      <w:r>
        <w:rPr>
          <w:rFonts w:hint="eastAsia" w:ascii="仿宋" w:hAnsi="仿宋" w:eastAsia="仿宋" w:cs="仿宋"/>
          <w:color w:val="333333"/>
          <w:kern w:val="0"/>
          <w:sz w:val="32"/>
          <w:szCs w:val="32"/>
        </w:rPr>
        <w:t>申报</w:t>
      </w:r>
      <w:r>
        <w:rPr>
          <w:rFonts w:hint="eastAsia" w:ascii="仿宋" w:hAnsi="仿宋" w:eastAsia="仿宋" w:cs="仿宋"/>
          <w:color w:val="333333"/>
          <w:kern w:val="0"/>
          <w:sz w:val="32"/>
          <w:szCs w:val="32"/>
          <w:lang w:eastAsia="zh-CN"/>
        </w:rPr>
        <w:t>、评审，执行已批复专项资金支出预算，提出绩效目标并实施绩效跟踪和评价，监督专项资金使用。</w:t>
      </w:r>
    </w:p>
    <w:p>
      <w:pPr>
        <w:widowControl/>
        <w:ind w:firstLine="562"/>
        <w:jc w:val="both"/>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rPr>
        <w:t>第</w:t>
      </w:r>
      <w:r>
        <w:rPr>
          <w:rFonts w:hint="eastAsia" w:ascii="仿宋" w:hAnsi="仿宋" w:eastAsia="仿宋" w:cs="仿宋"/>
          <w:b/>
          <w:bCs/>
          <w:color w:val="333333"/>
          <w:kern w:val="0"/>
          <w:sz w:val="32"/>
          <w:szCs w:val="32"/>
          <w:lang w:eastAsia="zh-CN"/>
        </w:rPr>
        <w:t>六</w:t>
      </w:r>
      <w:r>
        <w:rPr>
          <w:rFonts w:hint="eastAsia" w:ascii="仿宋" w:hAnsi="仿宋" w:eastAsia="仿宋" w:cs="仿宋"/>
          <w:b/>
          <w:bCs/>
          <w:color w:val="333333"/>
          <w:kern w:val="0"/>
          <w:sz w:val="32"/>
          <w:szCs w:val="32"/>
        </w:rPr>
        <w:t>条</w:t>
      </w:r>
      <w:r>
        <w:rPr>
          <w:rFonts w:hint="eastAsia" w:ascii="仿宋" w:hAnsi="仿宋" w:eastAsia="仿宋" w:cs="仿宋"/>
          <w:color w:val="333333"/>
          <w:kern w:val="0"/>
          <w:sz w:val="32"/>
          <w:szCs w:val="32"/>
        </w:rPr>
        <w:t> </w:t>
      </w: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专项资金支持范围包括：</w:t>
      </w:r>
    </w:p>
    <w:p>
      <w:pPr>
        <w:widowControl/>
        <w:ind w:firstLine="632" w:firstLineChars="200"/>
        <w:jc w:val="both"/>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（一）提升“党企新时空·政企直通车”服务效能；</w:t>
      </w:r>
    </w:p>
    <w:p>
      <w:pPr>
        <w:widowControl/>
        <w:ind w:firstLine="632" w:firstLineChars="200"/>
        <w:jc w:val="both"/>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（二）培育优质中小</w:t>
      </w:r>
      <w:r>
        <w:rPr>
          <w:rFonts w:hint="eastAsia" w:ascii="仿宋" w:hAnsi="仿宋" w:eastAsia="仿宋" w:cs="仿宋"/>
          <w:color w:val="333333"/>
          <w:kern w:val="0"/>
          <w:sz w:val="32"/>
          <w:szCs w:val="32"/>
          <w:lang w:eastAsia="zh-CN"/>
        </w:rPr>
        <w:t>微</w:t>
      </w:r>
      <w:r>
        <w:rPr>
          <w:rFonts w:hint="eastAsia" w:ascii="仿宋" w:hAnsi="仿宋" w:eastAsia="仿宋" w:cs="仿宋"/>
          <w:color w:val="333333"/>
          <w:kern w:val="0"/>
          <w:sz w:val="32"/>
          <w:szCs w:val="32"/>
        </w:rPr>
        <w:t>企业，鼓励“新技术、新产业、新模式、新业态”中小</w:t>
      </w:r>
      <w:r>
        <w:rPr>
          <w:rFonts w:hint="eastAsia" w:ascii="仿宋" w:hAnsi="仿宋" w:eastAsia="仿宋" w:cs="仿宋"/>
          <w:color w:val="333333"/>
          <w:kern w:val="0"/>
          <w:sz w:val="32"/>
          <w:szCs w:val="32"/>
          <w:lang w:eastAsia="zh-CN"/>
        </w:rPr>
        <w:t>微</w:t>
      </w:r>
      <w:r>
        <w:rPr>
          <w:rFonts w:hint="eastAsia" w:ascii="仿宋" w:hAnsi="仿宋" w:eastAsia="仿宋" w:cs="仿宋"/>
          <w:color w:val="333333"/>
          <w:kern w:val="0"/>
          <w:sz w:val="32"/>
          <w:szCs w:val="32"/>
        </w:rPr>
        <w:t>企业发展，支持开展中小</w:t>
      </w:r>
      <w:r>
        <w:rPr>
          <w:rFonts w:hint="eastAsia" w:ascii="仿宋" w:hAnsi="仿宋" w:eastAsia="仿宋" w:cs="仿宋"/>
          <w:color w:val="333333"/>
          <w:kern w:val="0"/>
          <w:sz w:val="32"/>
          <w:szCs w:val="32"/>
          <w:lang w:eastAsia="zh-CN"/>
        </w:rPr>
        <w:t>微</w:t>
      </w:r>
      <w:r>
        <w:rPr>
          <w:rFonts w:hint="eastAsia" w:ascii="仿宋" w:hAnsi="仿宋" w:eastAsia="仿宋" w:cs="仿宋"/>
          <w:color w:val="333333"/>
          <w:kern w:val="0"/>
          <w:sz w:val="32"/>
          <w:szCs w:val="32"/>
        </w:rPr>
        <w:t>企业创业创新活动，推进创业创新载体建设；</w:t>
      </w:r>
    </w:p>
    <w:p>
      <w:pPr>
        <w:widowControl/>
        <w:ind w:firstLine="632" w:firstLineChars="200"/>
        <w:jc w:val="both"/>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（三）开展中小</w:t>
      </w:r>
      <w:r>
        <w:rPr>
          <w:rFonts w:hint="eastAsia" w:ascii="仿宋" w:hAnsi="仿宋" w:eastAsia="仿宋" w:cs="仿宋"/>
          <w:color w:val="333333"/>
          <w:kern w:val="0"/>
          <w:sz w:val="32"/>
          <w:szCs w:val="32"/>
          <w:lang w:eastAsia="zh-CN"/>
        </w:rPr>
        <w:t>微</w:t>
      </w:r>
      <w:r>
        <w:rPr>
          <w:rFonts w:hint="eastAsia" w:ascii="仿宋" w:hAnsi="仿宋" w:eastAsia="仿宋" w:cs="仿宋"/>
          <w:color w:val="333333"/>
          <w:kern w:val="0"/>
          <w:sz w:val="32"/>
          <w:szCs w:val="32"/>
        </w:rPr>
        <w:t>企业发展政策宣传，支持中小</w:t>
      </w:r>
      <w:r>
        <w:rPr>
          <w:rFonts w:hint="eastAsia" w:ascii="仿宋" w:hAnsi="仿宋" w:eastAsia="仿宋" w:cs="仿宋"/>
          <w:color w:val="333333"/>
          <w:kern w:val="0"/>
          <w:sz w:val="32"/>
          <w:szCs w:val="32"/>
          <w:lang w:eastAsia="zh-CN"/>
        </w:rPr>
        <w:t>微</w:t>
      </w:r>
      <w:r>
        <w:rPr>
          <w:rFonts w:hint="eastAsia" w:ascii="仿宋" w:hAnsi="仿宋" w:eastAsia="仿宋" w:cs="仿宋"/>
          <w:color w:val="333333"/>
          <w:kern w:val="0"/>
          <w:sz w:val="32"/>
          <w:szCs w:val="32"/>
        </w:rPr>
        <w:t>企业开拓市场；</w:t>
      </w:r>
    </w:p>
    <w:p>
      <w:pPr>
        <w:widowControl/>
        <w:ind w:firstLine="632" w:firstLineChars="200"/>
        <w:jc w:val="both"/>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（四）完善中小</w:t>
      </w:r>
      <w:r>
        <w:rPr>
          <w:rFonts w:hint="eastAsia" w:ascii="仿宋" w:hAnsi="仿宋" w:eastAsia="仿宋" w:cs="仿宋"/>
          <w:color w:val="333333"/>
          <w:kern w:val="0"/>
          <w:sz w:val="32"/>
          <w:szCs w:val="32"/>
          <w:lang w:eastAsia="zh-CN"/>
        </w:rPr>
        <w:t>微</w:t>
      </w:r>
      <w:r>
        <w:rPr>
          <w:rFonts w:hint="eastAsia" w:ascii="仿宋" w:hAnsi="仿宋" w:eastAsia="仿宋" w:cs="仿宋"/>
          <w:color w:val="333333"/>
          <w:kern w:val="0"/>
          <w:sz w:val="32"/>
          <w:szCs w:val="32"/>
        </w:rPr>
        <w:t>企业公共服务体系，开展中小</w:t>
      </w:r>
      <w:r>
        <w:rPr>
          <w:rFonts w:hint="eastAsia" w:ascii="仿宋" w:hAnsi="仿宋" w:eastAsia="仿宋" w:cs="仿宋"/>
          <w:color w:val="333333"/>
          <w:kern w:val="0"/>
          <w:sz w:val="32"/>
          <w:szCs w:val="32"/>
          <w:lang w:eastAsia="zh-CN"/>
        </w:rPr>
        <w:t>微</w:t>
      </w:r>
      <w:r>
        <w:rPr>
          <w:rFonts w:hint="eastAsia" w:ascii="仿宋" w:hAnsi="仿宋" w:eastAsia="仿宋" w:cs="仿宋"/>
          <w:color w:val="333333"/>
          <w:kern w:val="0"/>
          <w:sz w:val="32"/>
          <w:szCs w:val="32"/>
        </w:rPr>
        <w:t>企业生产经营运行监测，</w:t>
      </w:r>
      <w:r>
        <w:rPr>
          <w:rFonts w:hint="eastAsia" w:ascii="仿宋" w:hAnsi="仿宋" w:eastAsia="仿宋" w:cs="仿宋"/>
          <w:color w:val="333333"/>
          <w:kern w:val="0"/>
          <w:sz w:val="32"/>
          <w:szCs w:val="32"/>
          <w:lang w:eastAsia="zh-CN"/>
        </w:rPr>
        <w:t>开展中小微企业发展环境评估</w:t>
      </w:r>
      <w:r>
        <w:rPr>
          <w:rFonts w:hint="eastAsia" w:ascii="仿宋" w:hAnsi="仿宋" w:eastAsia="仿宋" w:cs="仿宋"/>
          <w:color w:val="333333"/>
          <w:kern w:val="0"/>
          <w:sz w:val="32"/>
          <w:szCs w:val="32"/>
          <w:lang w:val="en-US" w:eastAsia="zh-CN"/>
        </w:rPr>
        <w:t>,</w:t>
      </w:r>
      <w:r>
        <w:rPr>
          <w:rFonts w:hint="eastAsia" w:ascii="仿宋" w:hAnsi="仿宋" w:eastAsia="仿宋" w:cs="仿宋"/>
          <w:color w:val="333333"/>
          <w:kern w:val="0"/>
          <w:sz w:val="32"/>
          <w:szCs w:val="32"/>
        </w:rPr>
        <w:t>优化中小</w:t>
      </w:r>
      <w:r>
        <w:rPr>
          <w:rFonts w:hint="eastAsia" w:ascii="仿宋" w:hAnsi="仿宋" w:eastAsia="仿宋" w:cs="仿宋"/>
          <w:color w:val="333333"/>
          <w:kern w:val="0"/>
          <w:sz w:val="32"/>
          <w:szCs w:val="32"/>
          <w:lang w:eastAsia="zh-CN"/>
        </w:rPr>
        <w:t>微</w:t>
      </w:r>
      <w:r>
        <w:rPr>
          <w:rFonts w:hint="eastAsia" w:ascii="仿宋" w:hAnsi="仿宋" w:eastAsia="仿宋" w:cs="仿宋"/>
          <w:color w:val="333333"/>
          <w:kern w:val="0"/>
          <w:sz w:val="32"/>
          <w:szCs w:val="32"/>
        </w:rPr>
        <w:t>企业发展环境；</w:t>
      </w:r>
    </w:p>
    <w:p>
      <w:pPr>
        <w:widowControl/>
        <w:ind w:firstLine="632" w:firstLineChars="200"/>
        <w:jc w:val="both"/>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（五）推动产融合作，改善中小</w:t>
      </w:r>
      <w:r>
        <w:rPr>
          <w:rFonts w:hint="eastAsia" w:ascii="仿宋" w:hAnsi="仿宋" w:eastAsia="仿宋" w:cs="仿宋"/>
          <w:color w:val="333333"/>
          <w:kern w:val="0"/>
          <w:sz w:val="32"/>
          <w:szCs w:val="32"/>
          <w:lang w:eastAsia="zh-CN"/>
        </w:rPr>
        <w:t>微</w:t>
      </w:r>
      <w:r>
        <w:rPr>
          <w:rFonts w:hint="eastAsia" w:ascii="仿宋" w:hAnsi="仿宋" w:eastAsia="仿宋" w:cs="仿宋"/>
          <w:color w:val="333333"/>
          <w:kern w:val="0"/>
          <w:sz w:val="32"/>
          <w:szCs w:val="32"/>
        </w:rPr>
        <w:t>企业融资环境；</w:t>
      </w:r>
    </w:p>
    <w:p>
      <w:pPr>
        <w:widowControl/>
        <w:ind w:firstLine="632" w:firstLineChars="200"/>
        <w:jc w:val="both"/>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（六）组织实施中小</w:t>
      </w:r>
      <w:r>
        <w:rPr>
          <w:rFonts w:hint="eastAsia" w:ascii="仿宋" w:hAnsi="仿宋" w:eastAsia="仿宋" w:cs="仿宋"/>
          <w:color w:val="333333"/>
          <w:kern w:val="0"/>
          <w:sz w:val="32"/>
          <w:szCs w:val="32"/>
          <w:lang w:eastAsia="zh-CN"/>
        </w:rPr>
        <w:t>微</w:t>
      </w:r>
      <w:r>
        <w:rPr>
          <w:rFonts w:hint="eastAsia" w:ascii="仿宋" w:hAnsi="仿宋" w:eastAsia="仿宋" w:cs="仿宋"/>
          <w:color w:val="333333"/>
          <w:kern w:val="0"/>
          <w:sz w:val="32"/>
          <w:szCs w:val="32"/>
        </w:rPr>
        <w:t>企业经营管理提升活动，促进中小</w:t>
      </w:r>
      <w:r>
        <w:rPr>
          <w:rFonts w:hint="eastAsia" w:ascii="仿宋" w:hAnsi="仿宋" w:eastAsia="仿宋" w:cs="仿宋"/>
          <w:color w:val="333333"/>
          <w:kern w:val="0"/>
          <w:sz w:val="32"/>
          <w:szCs w:val="32"/>
          <w:lang w:eastAsia="zh-CN"/>
        </w:rPr>
        <w:t>微</w:t>
      </w:r>
      <w:r>
        <w:rPr>
          <w:rFonts w:hint="eastAsia" w:ascii="仿宋" w:hAnsi="仿宋" w:eastAsia="仿宋" w:cs="仿宋"/>
          <w:color w:val="333333"/>
          <w:kern w:val="0"/>
          <w:sz w:val="32"/>
          <w:szCs w:val="32"/>
        </w:rPr>
        <w:t>企业创新管理、提质增效；</w:t>
      </w:r>
    </w:p>
    <w:p>
      <w:pPr>
        <w:widowControl/>
        <w:ind w:firstLine="632" w:firstLineChars="200"/>
        <w:jc w:val="both"/>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（七）完善中小</w:t>
      </w:r>
      <w:r>
        <w:rPr>
          <w:rFonts w:hint="eastAsia" w:ascii="仿宋" w:hAnsi="仿宋" w:eastAsia="仿宋" w:cs="仿宋"/>
          <w:color w:val="333333"/>
          <w:kern w:val="0"/>
          <w:sz w:val="32"/>
          <w:szCs w:val="32"/>
          <w:lang w:eastAsia="zh-CN"/>
        </w:rPr>
        <w:t>微</w:t>
      </w:r>
      <w:r>
        <w:rPr>
          <w:rFonts w:hint="eastAsia" w:ascii="仿宋" w:hAnsi="仿宋" w:eastAsia="仿宋" w:cs="仿宋"/>
          <w:color w:val="333333"/>
          <w:kern w:val="0"/>
          <w:sz w:val="32"/>
          <w:szCs w:val="32"/>
        </w:rPr>
        <w:t>企业梯度培养机制，打造中小</w:t>
      </w:r>
      <w:r>
        <w:rPr>
          <w:rFonts w:hint="eastAsia" w:ascii="仿宋" w:hAnsi="仿宋" w:eastAsia="仿宋" w:cs="仿宋"/>
          <w:color w:val="333333"/>
          <w:kern w:val="0"/>
          <w:sz w:val="32"/>
          <w:szCs w:val="32"/>
          <w:lang w:eastAsia="zh-CN"/>
        </w:rPr>
        <w:t>微</w:t>
      </w:r>
      <w:r>
        <w:rPr>
          <w:rFonts w:hint="eastAsia" w:ascii="仿宋" w:hAnsi="仿宋" w:eastAsia="仿宋" w:cs="仿宋"/>
          <w:color w:val="333333"/>
          <w:kern w:val="0"/>
          <w:sz w:val="32"/>
          <w:szCs w:val="32"/>
        </w:rPr>
        <w:t>企业梯次发展成长链条；</w:t>
      </w:r>
    </w:p>
    <w:p>
      <w:pPr>
        <w:widowControl/>
        <w:ind w:firstLine="632" w:firstLineChars="200"/>
        <w:jc w:val="both"/>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（八）配套国家相关扶持资金使用；</w:t>
      </w:r>
    </w:p>
    <w:p>
      <w:pPr>
        <w:widowControl/>
        <w:ind w:firstLine="632" w:firstLineChars="200"/>
        <w:jc w:val="both"/>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（九）省委</w:t>
      </w:r>
      <w:r>
        <w:rPr>
          <w:rFonts w:hint="eastAsia" w:ascii="仿宋" w:hAnsi="仿宋" w:eastAsia="仿宋" w:cs="仿宋"/>
          <w:color w:val="333333"/>
          <w:kern w:val="0"/>
          <w:sz w:val="32"/>
          <w:szCs w:val="32"/>
          <w:lang w:eastAsia="zh-CN"/>
        </w:rPr>
        <w:t>、</w:t>
      </w:r>
      <w:r>
        <w:rPr>
          <w:rFonts w:hint="eastAsia" w:ascii="仿宋" w:hAnsi="仿宋" w:eastAsia="仿宋" w:cs="仿宋"/>
          <w:color w:val="333333"/>
          <w:kern w:val="0"/>
          <w:sz w:val="32"/>
          <w:szCs w:val="32"/>
        </w:rPr>
        <w:t>省政府确定的促进我省中小</w:t>
      </w:r>
      <w:r>
        <w:rPr>
          <w:rFonts w:hint="eastAsia" w:ascii="仿宋" w:hAnsi="仿宋" w:eastAsia="仿宋" w:cs="仿宋"/>
          <w:color w:val="333333"/>
          <w:kern w:val="0"/>
          <w:sz w:val="32"/>
          <w:szCs w:val="32"/>
          <w:lang w:eastAsia="zh-CN"/>
        </w:rPr>
        <w:t>微</w:t>
      </w:r>
      <w:r>
        <w:rPr>
          <w:rFonts w:hint="eastAsia" w:ascii="仿宋" w:hAnsi="仿宋" w:eastAsia="仿宋" w:cs="仿宋"/>
          <w:color w:val="333333"/>
          <w:kern w:val="0"/>
          <w:sz w:val="32"/>
          <w:szCs w:val="32"/>
        </w:rPr>
        <w:t>企业发展的</w:t>
      </w:r>
      <w:r>
        <w:rPr>
          <w:rFonts w:hint="eastAsia" w:ascii="仿宋" w:hAnsi="仿宋" w:eastAsia="仿宋" w:cs="仿宋"/>
          <w:color w:val="333333"/>
          <w:kern w:val="0"/>
          <w:sz w:val="32"/>
          <w:szCs w:val="32"/>
          <w:lang w:eastAsia="zh-CN"/>
        </w:rPr>
        <w:t>其他</w:t>
      </w:r>
      <w:r>
        <w:rPr>
          <w:rFonts w:hint="eastAsia" w:ascii="仿宋" w:hAnsi="仿宋" w:eastAsia="仿宋" w:cs="仿宋"/>
          <w:color w:val="333333"/>
          <w:kern w:val="0"/>
          <w:sz w:val="32"/>
          <w:szCs w:val="32"/>
        </w:rPr>
        <w:t>相关工作。</w:t>
      </w:r>
    </w:p>
    <w:p>
      <w:pPr>
        <w:widowControl/>
        <w:ind w:firstLine="632" w:firstLineChars="200"/>
        <w:jc w:val="both"/>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中小</w:t>
      </w:r>
      <w:r>
        <w:rPr>
          <w:rFonts w:hint="eastAsia" w:ascii="仿宋" w:hAnsi="仿宋" w:eastAsia="仿宋" w:cs="仿宋"/>
          <w:color w:val="333333"/>
          <w:kern w:val="0"/>
          <w:sz w:val="32"/>
          <w:szCs w:val="32"/>
          <w:lang w:eastAsia="zh-CN"/>
        </w:rPr>
        <w:t>微</w:t>
      </w:r>
      <w:r>
        <w:rPr>
          <w:rFonts w:hint="eastAsia" w:ascii="仿宋" w:hAnsi="仿宋" w:eastAsia="仿宋" w:cs="仿宋"/>
          <w:color w:val="333333"/>
          <w:kern w:val="0"/>
          <w:sz w:val="32"/>
          <w:szCs w:val="32"/>
        </w:rPr>
        <w:t>企业获得</w:t>
      </w:r>
      <w:r>
        <w:rPr>
          <w:rFonts w:hint="eastAsia" w:ascii="仿宋" w:hAnsi="仿宋" w:eastAsia="仿宋" w:cs="仿宋"/>
          <w:color w:val="333333"/>
          <w:kern w:val="0"/>
          <w:sz w:val="32"/>
          <w:szCs w:val="32"/>
          <w:lang w:eastAsia="zh-CN"/>
        </w:rPr>
        <w:t>本专项资金中安排的</w:t>
      </w:r>
      <w:r>
        <w:rPr>
          <w:rFonts w:hint="eastAsia" w:ascii="仿宋" w:hAnsi="仿宋" w:eastAsia="仿宋" w:cs="仿宋"/>
          <w:color w:val="333333"/>
          <w:kern w:val="0"/>
          <w:sz w:val="32"/>
          <w:szCs w:val="32"/>
        </w:rPr>
        <w:t>贷款贴息、认定类和奖励类项目的省级资金补助，可同时享受其他省级资金补助。</w:t>
      </w:r>
    </w:p>
    <w:p>
      <w:pPr>
        <w:widowControl/>
        <w:ind w:firstLine="562"/>
        <w:jc w:val="both"/>
        <w:rPr>
          <w:rFonts w:hint="eastAsia" w:ascii="仿宋" w:hAnsi="仿宋" w:eastAsia="仿宋" w:cs="仿宋"/>
          <w:color w:val="333333"/>
          <w:kern w:val="0"/>
          <w:sz w:val="32"/>
          <w:szCs w:val="32"/>
          <w:lang w:eastAsia="zh-CN"/>
        </w:rPr>
      </w:pPr>
      <w:r>
        <w:rPr>
          <w:rFonts w:hint="eastAsia" w:ascii="仿宋" w:hAnsi="仿宋" w:eastAsia="仿宋" w:cs="仿宋"/>
          <w:b/>
          <w:bCs/>
          <w:color w:val="333333"/>
          <w:kern w:val="0"/>
          <w:sz w:val="32"/>
          <w:szCs w:val="32"/>
        </w:rPr>
        <w:t>第</w:t>
      </w:r>
      <w:r>
        <w:rPr>
          <w:rFonts w:hint="eastAsia" w:ascii="仿宋" w:hAnsi="仿宋" w:eastAsia="仿宋" w:cs="仿宋"/>
          <w:b/>
          <w:bCs/>
          <w:color w:val="333333"/>
          <w:kern w:val="0"/>
          <w:sz w:val="32"/>
          <w:szCs w:val="32"/>
          <w:lang w:eastAsia="zh-CN"/>
        </w:rPr>
        <w:t>七</w:t>
      </w:r>
      <w:r>
        <w:rPr>
          <w:rFonts w:hint="eastAsia" w:ascii="仿宋" w:hAnsi="仿宋" w:eastAsia="仿宋" w:cs="仿宋"/>
          <w:b/>
          <w:bCs/>
          <w:color w:val="333333"/>
          <w:kern w:val="0"/>
          <w:sz w:val="32"/>
          <w:szCs w:val="32"/>
        </w:rPr>
        <w:t>条</w:t>
      </w:r>
      <w:r>
        <w:rPr>
          <w:rFonts w:hint="eastAsia" w:ascii="仿宋" w:hAnsi="仿宋" w:eastAsia="仿宋" w:cs="仿宋"/>
          <w:color w:val="333333"/>
          <w:kern w:val="0"/>
          <w:sz w:val="32"/>
          <w:szCs w:val="32"/>
        </w:rPr>
        <w:t> </w:t>
      </w: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lang w:eastAsia="zh-CN"/>
        </w:rPr>
        <w:t>专项资金可采用项目法、因素法、项目法与因素法相结合等方式分配。</w:t>
      </w:r>
    </w:p>
    <w:p>
      <w:pPr>
        <w:widowControl/>
        <w:numPr>
          <w:ilvl w:val="0"/>
          <w:numId w:val="1"/>
        </w:numPr>
        <w:ind w:firstLine="562"/>
        <w:jc w:val="both"/>
        <w:rPr>
          <w:rFonts w:hint="eastAsia" w:ascii="仿宋" w:hAnsi="仿宋" w:eastAsia="仿宋" w:cs="仿宋"/>
          <w:color w:val="333333"/>
          <w:kern w:val="0"/>
          <w:sz w:val="32"/>
          <w:szCs w:val="32"/>
          <w:lang w:eastAsia="zh-CN"/>
        </w:rPr>
      </w:pPr>
      <w:r>
        <w:rPr>
          <w:rFonts w:hint="eastAsia" w:ascii="仿宋" w:hAnsi="仿宋" w:eastAsia="仿宋" w:cs="仿宋"/>
          <w:color w:val="333333"/>
          <w:kern w:val="0"/>
          <w:sz w:val="32"/>
          <w:szCs w:val="32"/>
          <w:lang w:eastAsia="zh-CN"/>
        </w:rPr>
        <w:t>采取项目法分配的专项资金，由省工信厅印发申报指南，明确项目支持标准等内容，同时按照相关要求及时建立更新完善项目库，确保资金分配与项目实施保持一致。</w:t>
      </w:r>
    </w:p>
    <w:p>
      <w:pPr>
        <w:widowControl/>
        <w:numPr>
          <w:ilvl w:val="0"/>
          <w:numId w:val="1"/>
        </w:numPr>
        <w:ind w:firstLine="562"/>
        <w:jc w:val="both"/>
        <w:rPr>
          <w:rFonts w:hint="eastAsia" w:ascii="仿宋" w:hAnsi="仿宋" w:eastAsia="仿宋" w:cs="仿宋"/>
          <w:color w:val="333333"/>
          <w:kern w:val="0"/>
          <w:sz w:val="32"/>
          <w:szCs w:val="32"/>
          <w:lang w:eastAsia="zh-CN"/>
        </w:rPr>
      </w:pPr>
      <w:r>
        <w:rPr>
          <w:rFonts w:hint="eastAsia" w:ascii="仿宋" w:hAnsi="仿宋" w:eastAsia="仿宋" w:cs="仿宋"/>
          <w:color w:val="333333"/>
          <w:kern w:val="0"/>
          <w:sz w:val="32"/>
          <w:szCs w:val="32"/>
          <w:lang w:eastAsia="zh-CN"/>
        </w:rPr>
        <w:t>采取因素法分配的专项资金，根据相关支出方向、政策任务及上年度资金使用情况等因素及权重，由省工信厅商省财政厅研究提出资金分配方案。</w:t>
      </w:r>
    </w:p>
    <w:p>
      <w:pPr>
        <w:widowControl/>
        <w:numPr>
          <w:ilvl w:val="0"/>
          <w:numId w:val="1"/>
        </w:numPr>
        <w:ind w:firstLine="562"/>
        <w:jc w:val="both"/>
        <w:rPr>
          <w:rFonts w:hint="eastAsia" w:ascii="仿宋" w:hAnsi="仿宋" w:eastAsia="仿宋" w:cs="仿宋"/>
          <w:color w:val="333333"/>
          <w:kern w:val="0"/>
          <w:sz w:val="32"/>
          <w:szCs w:val="32"/>
          <w:lang w:eastAsia="zh-CN"/>
        </w:rPr>
      </w:pPr>
      <w:r>
        <w:rPr>
          <w:rFonts w:hint="eastAsia" w:ascii="仿宋" w:hAnsi="仿宋" w:eastAsia="仿宋" w:cs="仿宋"/>
          <w:color w:val="333333"/>
          <w:kern w:val="0"/>
          <w:sz w:val="32"/>
          <w:szCs w:val="32"/>
          <w:lang w:val="en-US" w:eastAsia="zh-CN"/>
        </w:rPr>
        <w:t>采取项目法与因素法相结合的方式分配的奖励性资金，省工信厅会同省财政厅制定奖励政策，明确奖励标准等。</w:t>
      </w:r>
    </w:p>
    <w:p>
      <w:pPr>
        <w:widowControl/>
        <w:numPr>
          <w:ilvl w:val="0"/>
          <w:numId w:val="1"/>
        </w:numPr>
        <w:ind w:firstLine="562"/>
        <w:jc w:val="both"/>
        <w:rPr>
          <w:rFonts w:hint="eastAsia" w:ascii="仿宋" w:hAnsi="仿宋" w:eastAsia="仿宋" w:cs="仿宋"/>
          <w:color w:val="333333"/>
          <w:kern w:val="0"/>
          <w:sz w:val="32"/>
          <w:szCs w:val="32"/>
          <w:lang w:eastAsia="zh-CN"/>
        </w:rPr>
      </w:pPr>
      <w:r>
        <w:rPr>
          <w:rFonts w:hint="eastAsia" w:ascii="仿宋" w:hAnsi="仿宋" w:eastAsia="仿宋" w:cs="仿宋"/>
          <w:color w:val="333333"/>
          <w:kern w:val="0"/>
          <w:sz w:val="32"/>
          <w:szCs w:val="32"/>
          <w:lang w:eastAsia="zh-CN"/>
        </w:rPr>
        <w:t>涉及政府采购、政府购买服务项目，按照政府采购、政府购买服务有关规定执行。</w:t>
      </w:r>
    </w:p>
    <w:p>
      <w:pPr>
        <w:widowControl/>
        <w:ind w:firstLine="632" w:firstLineChars="200"/>
        <w:jc w:val="both"/>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rPr>
        <w:t>第</w:t>
      </w:r>
      <w:r>
        <w:rPr>
          <w:rFonts w:hint="eastAsia" w:ascii="仿宋" w:hAnsi="仿宋" w:eastAsia="仿宋" w:cs="仿宋"/>
          <w:b/>
          <w:bCs/>
          <w:color w:val="333333"/>
          <w:kern w:val="0"/>
          <w:sz w:val="32"/>
          <w:szCs w:val="32"/>
          <w:lang w:eastAsia="zh-CN"/>
        </w:rPr>
        <w:t>八</w:t>
      </w:r>
      <w:r>
        <w:rPr>
          <w:rFonts w:hint="eastAsia" w:ascii="仿宋" w:hAnsi="仿宋" w:eastAsia="仿宋" w:cs="仿宋"/>
          <w:b/>
          <w:bCs/>
          <w:color w:val="333333"/>
          <w:kern w:val="0"/>
          <w:sz w:val="32"/>
          <w:szCs w:val="32"/>
        </w:rPr>
        <w:t>条</w:t>
      </w:r>
      <w:r>
        <w:rPr>
          <w:rFonts w:hint="eastAsia" w:ascii="仿宋" w:hAnsi="仿宋" w:eastAsia="仿宋" w:cs="仿宋"/>
          <w:color w:val="333333"/>
          <w:kern w:val="0"/>
          <w:sz w:val="32"/>
          <w:szCs w:val="32"/>
        </w:rPr>
        <w:t> </w:t>
      </w: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省工信厅</w:t>
      </w:r>
      <w:r>
        <w:rPr>
          <w:rFonts w:hint="eastAsia" w:ascii="仿宋" w:hAnsi="仿宋" w:eastAsia="仿宋" w:cs="仿宋"/>
          <w:color w:val="333333"/>
          <w:kern w:val="0"/>
          <w:sz w:val="32"/>
          <w:szCs w:val="32"/>
          <w:lang w:eastAsia="zh-CN"/>
        </w:rPr>
        <w:t>会同省财政厅结合年度工作重点和年初预算批复的中小微企业发展专项资金额度，合理制定专项资金分配方案和具体奖补政策。</w:t>
      </w:r>
    </w:p>
    <w:p>
      <w:pPr>
        <w:widowControl/>
        <w:ind w:firstLine="562"/>
        <w:jc w:val="both"/>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rPr>
        <w:t>第</w:t>
      </w:r>
      <w:r>
        <w:rPr>
          <w:rFonts w:hint="eastAsia" w:ascii="仿宋" w:hAnsi="仿宋" w:eastAsia="仿宋" w:cs="仿宋"/>
          <w:b/>
          <w:bCs/>
          <w:color w:val="333333"/>
          <w:kern w:val="0"/>
          <w:sz w:val="32"/>
          <w:szCs w:val="32"/>
          <w:lang w:eastAsia="zh-CN"/>
        </w:rPr>
        <w:t>九</w:t>
      </w:r>
      <w:r>
        <w:rPr>
          <w:rFonts w:hint="eastAsia" w:ascii="仿宋" w:hAnsi="仿宋" w:eastAsia="仿宋" w:cs="仿宋"/>
          <w:b/>
          <w:bCs/>
          <w:color w:val="333333"/>
          <w:kern w:val="0"/>
          <w:sz w:val="32"/>
          <w:szCs w:val="32"/>
        </w:rPr>
        <w:t>条</w:t>
      </w:r>
      <w:r>
        <w:rPr>
          <w:rFonts w:hint="eastAsia" w:ascii="仿宋" w:hAnsi="仿宋" w:eastAsia="仿宋" w:cs="仿宋"/>
          <w:color w:val="333333"/>
          <w:kern w:val="0"/>
          <w:sz w:val="32"/>
          <w:szCs w:val="32"/>
        </w:rPr>
        <w:t> </w:t>
      </w: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每年10月31日前，省财政厅会同省工信厅将下一年度专项资金预计数提前下达到市</w:t>
      </w:r>
      <w:r>
        <w:rPr>
          <w:rFonts w:hint="eastAsia" w:ascii="仿宋" w:hAnsi="仿宋" w:eastAsia="仿宋" w:cs="仿宋"/>
          <w:color w:val="333333"/>
          <w:kern w:val="0"/>
          <w:sz w:val="32"/>
          <w:szCs w:val="32"/>
          <w:lang w:eastAsia="zh-CN"/>
        </w:rPr>
        <w:t>、</w:t>
      </w:r>
      <w:r>
        <w:rPr>
          <w:rFonts w:hint="eastAsia" w:ascii="仿宋" w:hAnsi="仿宋" w:eastAsia="仿宋" w:cs="仿宋"/>
          <w:color w:val="333333"/>
          <w:kern w:val="0"/>
          <w:sz w:val="32"/>
          <w:szCs w:val="32"/>
        </w:rPr>
        <w:t>县</w:t>
      </w:r>
      <w:r>
        <w:rPr>
          <w:rFonts w:hint="eastAsia" w:ascii="仿宋" w:hAnsi="仿宋" w:eastAsia="仿宋" w:cs="仿宋"/>
          <w:color w:val="333333"/>
          <w:kern w:val="0"/>
          <w:sz w:val="32"/>
          <w:szCs w:val="32"/>
          <w:lang w:eastAsia="zh-CN"/>
        </w:rPr>
        <w:t>（区）</w:t>
      </w:r>
      <w:r>
        <w:rPr>
          <w:rFonts w:hint="eastAsia" w:ascii="仿宋" w:hAnsi="仿宋" w:eastAsia="仿宋" w:cs="仿宋"/>
          <w:color w:val="333333"/>
          <w:kern w:val="0"/>
          <w:sz w:val="32"/>
          <w:szCs w:val="32"/>
        </w:rPr>
        <w:t>，</w:t>
      </w:r>
      <w:r>
        <w:rPr>
          <w:rFonts w:hint="eastAsia" w:ascii="仿宋" w:hAnsi="仿宋" w:eastAsia="仿宋" w:cs="仿宋"/>
          <w:color w:val="333333"/>
          <w:kern w:val="0"/>
          <w:sz w:val="32"/>
          <w:szCs w:val="32"/>
          <w:lang w:eastAsia="zh-CN"/>
        </w:rPr>
        <w:t>待年度预算执行中进行清算</w:t>
      </w:r>
      <w:r>
        <w:rPr>
          <w:rFonts w:hint="eastAsia" w:ascii="仿宋" w:hAnsi="仿宋" w:eastAsia="仿宋" w:cs="仿宋"/>
          <w:color w:val="333333"/>
          <w:kern w:val="0"/>
          <w:sz w:val="32"/>
          <w:szCs w:val="32"/>
        </w:rPr>
        <w:t>。提前下达资金比例一般不低于本年度转移支付预计执行数的70%，剩余资金待省人大批准预算后按规定时限下达。</w:t>
      </w:r>
    </w:p>
    <w:p>
      <w:pPr>
        <w:widowControl/>
        <w:ind w:firstLine="562"/>
        <w:jc w:val="both"/>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rPr>
        <w:t>第十条</w:t>
      </w:r>
      <w:r>
        <w:rPr>
          <w:rFonts w:hint="eastAsia" w:ascii="仿宋" w:hAnsi="仿宋" w:eastAsia="仿宋" w:cs="仿宋"/>
          <w:color w:val="333333"/>
          <w:kern w:val="0"/>
          <w:sz w:val="32"/>
          <w:szCs w:val="32"/>
        </w:rPr>
        <w:t> </w:t>
      </w: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lang w:eastAsia="zh-CN"/>
        </w:rPr>
        <w:t>转移支付资金在</w:t>
      </w:r>
      <w:r>
        <w:rPr>
          <w:rFonts w:hint="eastAsia" w:ascii="仿宋" w:hAnsi="仿宋" w:eastAsia="仿宋" w:cs="仿宋"/>
          <w:color w:val="333333"/>
          <w:kern w:val="0"/>
          <w:sz w:val="32"/>
          <w:szCs w:val="32"/>
        </w:rPr>
        <w:t>当年完成绩效目标后仍有结转结余的，可以用于本办法第</w:t>
      </w:r>
      <w:r>
        <w:rPr>
          <w:rFonts w:hint="eastAsia" w:ascii="仿宋" w:hAnsi="仿宋" w:eastAsia="仿宋" w:cs="仿宋"/>
          <w:color w:val="333333"/>
          <w:kern w:val="0"/>
          <w:sz w:val="32"/>
          <w:szCs w:val="32"/>
          <w:lang w:eastAsia="zh-CN"/>
        </w:rPr>
        <w:t>六</w:t>
      </w:r>
      <w:r>
        <w:rPr>
          <w:rFonts w:hint="eastAsia" w:ascii="仿宋" w:hAnsi="仿宋" w:eastAsia="仿宋" w:cs="仿宋"/>
          <w:color w:val="333333"/>
          <w:kern w:val="0"/>
          <w:sz w:val="32"/>
          <w:szCs w:val="32"/>
        </w:rPr>
        <w:t>条规定的支持范围，并按照有关结转结余资金的使用和管理办法执行。各设区市、平潭综合实验区财政</w:t>
      </w:r>
      <w:r>
        <w:rPr>
          <w:rFonts w:hint="eastAsia" w:ascii="仿宋" w:hAnsi="仿宋" w:eastAsia="仿宋" w:cs="仿宋"/>
          <w:color w:val="333333"/>
          <w:kern w:val="0"/>
          <w:sz w:val="32"/>
          <w:szCs w:val="32"/>
          <w:lang w:eastAsia="zh-CN"/>
        </w:rPr>
        <w:t>、</w:t>
      </w:r>
      <w:r>
        <w:rPr>
          <w:rFonts w:hint="eastAsia" w:ascii="仿宋" w:hAnsi="仿宋" w:eastAsia="仿宋" w:cs="仿宋"/>
          <w:color w:val="333333"/>
          <w:kern w:val="0"/>
          <w:sz w:val="32"/>
          <w:szCs w:val="32"/>
        </w:rPr>
        <w:t>工信部门</w:t>
      </w:r>
      <w:r>
        <w:rPr>
          <w:rFonts w:hint="eastAsia" w:ascii="仿宋" w:hAnsi="仿宋" w:eastAsia="仿宋" w:cs="仿宋"/>
          <w:color w:val="333333"/>
          <w:kern w:val="0"/>
          <w:sz w:val="32"/>
          <w:szCs w:val="32"/>
          <w:lang w:eastAsia="zh-CN"/>
        </w:rPr>
        <w:t>应将每季度转移支付资金使用进度情况于季度结束后</w:t>
      </w:r>
      <w:r>
        <w:rPr>
          <w:rFonts w:hint="eastAsia" w:ascii="仿宋" w:hAnsi="仿宋" w:eastAsia="仿宋" w:cs="仿宋"/>
          <w:color w:val="333333"/>
          <w:kern w:val="0"/>
          <w:sz w:val="32"/>
          <w:szCs w:val="32"/>
          <w:lang w:val="en-US" w:eastAsia="zh-CN"/>
        </w:rPr>
        <w:t>15日内上报省财政厅、省工信厅，将每年度转移支付资金使用管理情况、绩效评价情况于次年3月底前上报省财政厅、省工信厅。</w:t>
      </w:r>
    </w:p>
    <w:p>
      <w:pPr>
        <w:widowControl/>
        <w:ind w:firstLine="562"/>
        <w:jc w:val="both"/>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rPr>
        <w:t>第十</w:t>
      </w:r>
      <w:r>
        <w:rPr>
          <w:rFonts w:hint="eastAsia" w:ascii="仿宋" w:hAnsi="仿宋" w:eastAsia="仿宋" w:cs="仿宋"/>
          <w:b/>
          <w:bCs/>
          <w:color w:val="333333"/>
          <w:kern w:val="0"/>
          <w:sz w:val="32"/>
          <w:szCs w:val="32"/>
          <w:lang w:eastAsia="zh-CN"/>
        </w:rPr>
        <w:t>一</w:t>
      </w:r>
      <w:r>
        <w:rPr>
          <w:rFonts w:hint="eastAsia" w:ascii="仿宋" w:hAnsi="仿宋" w:eastAsia="仿宋" w:cs="仿宋"/>
          <w:b/>
          <w:bCs/>
          <w:color w:val="333333"/>
          <w:kern w:val="0"/>
          <w:sz w:val="32"/>
          <w:szCs w:val="32"/>
        </w:rPr>
        <w:t>条</w:t>
      </w:r>
      <w:r>
        <w:rPr>
          <w:rFonts w:hint="eastAsia" w:ascii="仿宋" w:hAnsi="仿宋" w:eastAsia="仿宋" w:cs="仿宋"/>
          <w:color w:val="333333"/>
          <w:kern w:val="0"/>
          <w:sz w:val="32"/>
          <w:szCs w:val="32"/>
        </w:rPr>
        <w:t> </w:t>
      </w:r>
      <w:r>
        <w:rPr>
          <w:rFonts w:hint="eastAsia" w:ascii="仿宋" w:hAnsi="仿宋" w:eastAsia="仿宋" w:cs="仿宋"/>
          <w:color w:val="333333"/>
          <w:kern w:val="0"/>
          <w:sz w:val="32"/>
          <w:szCs w:val="32"/>
          <w:lang w:val="en-US" w:eastAsia="zh-CN"/>
        </w:rPr>
        <w:t xml:space="preserve"> 按照全面实施预算绩效管理要求，</w:t>
      </w:r>
      <w:r>
        <w:rPr>
          <w:rFonts w:hint="eastAsia" w:ascii="仿宋" w:hAnsi="仿宋" w:eastAsia="仿宋" w:cs="仿宋"/>
          <w:color w:val="333333"/>
          <w:kern w:val="0"/>
          <w:sz w:val="32"/>
          <w:szCs w:val="32"/>
        </w:rPr>
        <w:t>省工信厅应当按照绩效目标对专项资金进行绩效监控</w:t>
      </w:r>
      <w:r>
        <w:rPr>
          <w:rFonts w:hint="eastAsia" w:ascii="仿宋" w:hAnsi="仿宋" w:eastAsia="仿宋" w:cs="仿宋"/>
          <w:color w:val="333333"/>
          <w:kern w:val="0"/>
          <w:sz w:val="32"/>
          <w:szCs w:val="32"/>
          <w:lang w:eastAsia="zh-CN"/>
        </w:rPr>
        <w:t>，发现问题及时纠正；开展</w:t>
      </w:r>
      <w:r>
        <w:rPr>
          <w:rFonts w:hint="eastAsia" w:ascii="仿宋" w:hAnsi="仿宋" w:eastAsia="仿宋" w:cs="仿宋"/>
          <w:color w:val="333333"/>
          <w:kern w:val="0"/>
          <w:sz w:val="32"/>
          <w:szCs w:val="32"/>
        </w:rPr>
        <w:t>绩效评价，加强绩效结果应用。省财政厅</w:t>
      </w:r>
      <w:r>
        <w:rPr>
          <w:rFonts w:hint="eastAsia" w:ascii="仿宋" w:hAnsi="仿宋" w:eastAsia="仿宋" w:cs="仿宋"/>
          <w:color w:val="333333"/>
          <w:kern w:val="0"/>
          <w:sz w:val="32"/>
          <w:szCs w:val="32"/>
          <w:lang w:eastAsia="zh-CN"/>
        </w:rPr>
        <w:t>根据工作需要开展财政重点绩效</w:t>
      </w:r>
      <w:r>
        <w:rPr>
          <w:rFonts w:hint="eastAsia" w:ascii="仿宋" w:hAnsi="仿宋" w:eastAsia="仿宋" w:cs="仿宋"/>
          <w:color w:val="333333"/>
          <w:kern w:val="0"/>
          <w:sz w:val="32"/>
          <w:szCs w:val="32"/>
        </w:rPr>
        <w:t>评价，绩效评价结果作为改进管理、</w:t>
      </w:r>
      <w:r>
        <w:rPr>
          <w:rFonts w:hint="eastAsia" w:ascii="仿宋" w:hAnsi="仿宋" w:eastAsia="仿宋" w:cs="仿宋"/>
          <w:color w:val="333333"/>
          <w:kern w:val="0"/>
          <w:sz w:val="32"/>
          <w:szCs w:val="32"/>
          <w:lang w:eastAsia="zh-CN"/>
        </w:rPr>
        <w:t>完善政策、预算安排的</w:t>
      </w:r>
      <w:r>
        <w:rPr>
          <w:rFonts w:hint="eastAsia" w:ascii="仿宋" w:hAnsi="仿宋" w:eastAsia="仿宋" w:cs="仿宋"/>
          <w:color w:val="333333"/>
          <w:kern w:val="0"/>
          <w:sz w:val="32"/>
          <w:szCs w:val="32"/>
        </w:rPr>
        <w:t>重要依据。</w:t>
      </w:r>
    </w:p>
    <w:p>
      <w:pPr>
        <w:widowControl/>
        <w:ind w:firstLine="562"/>
        <w:jc w:val="both"/>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b/>
          <w:bCs/>
          <w:color w:val="333333"/>
          <w:kern w:val="0"/>
          <w:sz w:val="32"/>
          <w:szCs w:val="32"/>
        </w:rPr>
        <w:t>第十</w:t>
      </w:r>
      <w:r>
        <w:rPr>
          <w:rFonts w:hint="eastAsia" w:ascii="仿宋" w:hAnsi="仿宋" w:eastAsia="仿宋" w:cs="仿宋"/>
          <w:b/>
          <w:bCs/>
          <w:color w:val="333333"/>
          <w:kern w:val="0"/>
          <w:sz w:val="32"/>
          <w:szCs w:val="32"/>
          <w:lang w:eastAsia="zh-CN"/>
        </w:rPr>
        <w:t>二</w:t>
      </w:r>
      <w:r>
        <w:rPr>
          <w:rFonts w:hint="eastAsia" w:ascii="仿宋" w:hAnsi="仿宋" w:eastAsia="仿宋" w:cs="仿宋"/>
          <w:b/>
          <w:bCs/>
          <w:color w:val="333333"/>
          <w:kern w:val="0"/>
          <w:sz w:val="32"/>
          <w:szCs w:val="32"/>
        </w:rPr>
        <w:t>条</w:t>
      </w:r>
      <w:r>
        <w:rPr>
          <w:rFonts w:hint="eastAsia" w:ascii="仿宋" w:hAnsi="仿宋" w:eastAsia="仿宋" w:cs="仿宋"/>
          <w:b/>
          <w:bCs/>
          <w:color w:val="333333"/>
          <w:kern w:val="0"/>
          <w:sz w:val="32"/>
          <w:szCs w:val="32"/>
          <w:lang w:val="en-US" w:eastAsia="zh-CN"/>
        </w:rPr>
        <w:t xml:space="preserve"> </w:t>
      </w:r>
      <w:r>
        <w:rPr>
          <w:rFonts w:hint="eastAsia" w:ascii="仿宋" w:hAnsi="仿宋" w:eastAsia="仿宋" w:cs="仿宋"/>
          <w:color w:val="333333"/>
          <w:kern w:val="0"/>
          <w:sz w:val="32"/>
          <w:szCs w:val="32"/>
        </w:rPr>
        <w:t>专项资金应当按照规定的用途和范围分配使用，任何部门和单位不得截留、挤占和挪用。专项资金的支付按照财政国库管理制度有关规定执行。</w:t>
      </w:r>
    </w:p>
    <w:p>
      <w:pPr>
        <w:widowControl/>
        <w:ind w:firstLine="562"/>
        <w:jc w:val="both"/>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rPr>
        <w:t>第十</w:t>
      </w:r>
      <w:r>
        <w:rPr>
          <w:rFonts w:hint="eastAsia" w:ascii="仿宋" w:hAnsi="仿宋" w:eastAsia="仿宋" w:cs="仿宋"/>
          <w:b/>
          <w:bCs/>
          <w:color w:val="333333"/>
          <w:kern w:val="0"/>
          <w:sz w:val="32"/>
          <w:szCs w:val="32"/>
          <w:lang w:eastAsia="zh-CN"/>
        </w:rPr>
        <w:t>三</w:t>
      </w:r>
      <w:r>
        <w:rPr>
          <w:rFonts w:hint="eastAsia" w:ascii="仿宋" w:hAnsi="仿宋" w:eastAsia="仿宋" w:cs="仿宋"/>
          <w:b/>
          <w:bCs/>
          <w:color w:val="333333"/>
          <w:kern w:val="0"/>
          <w:sz w:val="32"/>
          <w:szCs w:val="32"/>
        </w:rPr>
        <w:t>条</w:t>
      </w:r>
      <w:r>
        <w:rPr>
          <w:rFonts w:hint="eastAsia" w:ascii="仿宋" w:hAnsi="仿宋" w:eastAsia="仿宋" w:cs="仿宋"/>
          <w:color w:val="333333"/>
          <w:kern w:val="0"/>
          <w:sz w:val="32"/>
          <w:szCs w:val="32"/>
        </w:rPr>
        <w:t> </w:t>
      </w: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项目实施单位应当严格按照国家和省有关规定管理和使用项目资金，并自觉接受财政、监察、审计、工信等部门监督检查。</w:t>
      </w:r>
    </w:p>
    <w:p>
      <w:pPr>
        <w:widowControl/>
        <w:ind w:firstLine="562"/>
        <w:jc w:val="both"/>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rPr>
        <w:t>第十</w:t>
      </w:r>
      <w:r>
        <w:rPr>
          <w:rFonts w:hint="eastAsia" w:ascii="仿宋" w:hAnsi="仿宋" w:eastAsia="仿宋" w:cs="仿宋"/>
          <w:b/>
          <w:bCs/>
          <w:color w:val="333333"/>
          <w:kern w:val="0"/>
          <w:sz w:val="32"/>
          <w:szCs w:val="32"/>
          <w:lang w:eastAsia="zh-CN"/>
        </w:rPr>
        <w:t>四</w:t>
      </w:r>
      <w:r>
        <w:rPr>
          <w:rFonts w:hint="eastAsia" w:ascii="仿宋" w:hAnsi="仿宋" w:eastAsia="仿宋" w:cs="仿宋"/>
          <w:b/>
          <w:bCs/>
          <w:color w:val="333333"/>
          <w:kern w:val="0"/>
          <w:sz w:val="32"/>
          <w:szCs w:val="32"/>
        </w:rPr>
        <w:t>条</w:t>
      </w:r>
      <w:r>
        <w:rPr>
          <w:rFonts w:hint="eastAsia" w:ascii="仿宋" w:hAnsi="仿宋" w:eastAsia="仿宋" w:cs="仿宋"/>
          <w:color w:val="333333"/>
          <w:kern w:val="0"/>
          <w:sz w:val="32"/>
          <w:szCs w:val="32"/>
        </w:rPr>
        <w:t> </w:t>
      </w: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专项资金使用管理中存在虚报、冒领、截留、挪用等违法行为的,除责令将资金归还原有渠道或收回财政外，应当按照《中华人民共和国预算法》《财政违法行为处罚处分条例》等有关规定对相关部门和单位予以处理，并依法追究相关责任人的责任。</w:t>
      </w:r>
    </w:p>
    <w:p>
      <w:pPr>
        <w:widowControl/>
        <w:ind w:firstLine="562"/>
        <w:jc w:val="both"/>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rPr>
        <w:t>第十</w:t>
      </w:r>
      <w:r>
        <w:rPr>
          <w:rFonts w:hint="eastAsia" w:ascii="仿宋" w:hAnsi="仿宋" w:eastAsia="仿宋" w:cs="仿宋"/>
          <w:b/>
          <w:bCs/>
          <w:color w:val="333333"/>
          <w:kern w:val="0"/>
          <w:sz w:val="32"/>
          <w:szCs w:val="32"/>
          <w:lang w:eastAsia="zh-CN"/>
        </w:rPr>
        <w:t>五</w:t>
      </w:r>
      <w:r>
        <w:rPr>
          <w:rFonts w:hint="eastAsia" w:ascii="仿宋" w:hAnsi="仿宋" w:eastAsia="仿宋" w:cs="仿宋"/>
          <w:b/>
          <w:bCs/>
          <w:color w:val="333333"/>
          <w:kern w:val="0"/>
          <w:sz w:val="32"/>
          <w:szCs w:val="32"/>
        </w:rPr>
        <w:t>条</w:t>
      </w:r>
      <w:r>
        <w:rPr>
          <w:rFonts w:hint="eastAsia" w:ascii="仿宋" w:hAnsi="仿宋" w:eastAsia="仿宋" w:cs="仿宋"/>
          <w:color w:val="333333"/>
          <w:kern w:val="0"/>
          <w:sz w:val="32"/>
          <w:szCs w:val="32"/>
        </w:rPr>
        <w:t> </w:t>
      </w: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对未能独立客观地发布意见，在专项资金申报、评审等有关工作中存在虚假、伪造行为的专家或者市场中介组织，按照有关法律、法规、规章的规定进行处理。</w:t>
      </w:r>
    </w:p>
    <w:p>
      <w:pPr>
        <w:widowControl/>
        <w:ind w:firstLine="562"/>
        <w:jc w:val="both"/>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rPr>
        <w:t>第十</w:t>
      </w:r>
      <w:r>
        <w:rPr>
          <w:rFonts w:hint="eastAsia" w:ascii="仿宋" w:hAnsi="仿宋" w:eastAsia="仿宋" w:cs="仿宋"/>
          <w:b/>
          <w:bCs/>
          <w:color w:val="333333"/>
          <w:kern w:val="0"/>
          <w:sz w:val="32"/>
          <w:szCs w:val="32"/>
          <w:lang w:eastAsia="zh-CN"/>
        </w:rPr>
        <w:t>六</w:t>
      </w:r>
      <w:r>
        <w:rPr>
          <w:rFonts w:hint="eastAsia" w:ascii="仿宋" w:hAnsi="仿宋" w:eastAsia="仿宋" w:cs="仿宋"/>
          <w:b/>
          <w:bCs/>
          <w:color w:val="333333"/>
          <w:kern w:val="0"/>
          <w:sz w:val="32"/>
          <w:szCs w:val="32"/>
        </w:rPr>
        <w:t>条</w:t>
      </w:r>
      <w:r>
        <w:rPr>
          <w:rFonts w:hint="eastAsia" w:ascii="仿宋" w:hAnsi="仿宋" w:eastAsia="仿宋" w:cs="仿宋"/>
          <w:color w:val="333333"/>
          <w:kern w:val="0"/>
          <w:sz w:val="32"/>
          <w:szCs w:val="32"/>
        </w:rPr>
        <w:t> </w:t>
      </w: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国家机关工作人员在专项资金管理活动中滥用职权、玩忽职守、徇私舞弊的，依法追究行政责任；构成犯罪的，依法追究刑事责任。</w:t>
      </w:r>
    </w:p>
    <w:p>
      <w:pPr>
        <w:widowControl/>
        <w:ind w:firstLine="562"/>
        <w:jc w:val="both"/>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rPr>
        <w:t>第十</w:t>
      </w:r>
      <w:r>
        <w:rPr>
          <w:rFonts w:hint="eastAsia" w:ascii="仿宋" w:hAnsi="仿宋" w:eastAsia="仿宋" w:cs="仿宋"/>
          <w:b/>
          <w:bCs/>
          <w:color w:val="333333"/>
          <w:kern w:val="0"/>
          <w:sz w:val="32"/>
          <w:szCs w:val="32"/>
          <w:lang w:eastAsia="zh-CN"/>
        </w:rPr>
        <w:t>七</w:t>
      </w:r>
      <w:r>
        <w:rPr>
          <w:rFonts w:hint="eastAsia" w:ascii="仿宋" w:hAnsi="仿宋" w:eastAsia="仿宋" w:cs="仿宋"/>
          <w:b/>
          <w:bCs/>
          <w:color w:val="333333"/>
          <w:kern w:val="0"/>
          <w:sz w:val="32"/>
          <w:szCs w:val="32"/>
        </w:rPr>
        <w:t>条</w:t>
      </w:r>
      <w:r>
        <w:rPr>
          <w:rFonts w:hint="eastAsia" w:ascii="仿宋" w:hAnsi="仿宋" w:eastAsia="仿宋" w:cs="仿宋"/>
          <w:color w:val="333333"/>
          <w:kern w:val="0"/>
          <w:sz w:val="32"/>
          <w:szCs w:val="32"/>
        </w:rPr>
        <w:t> </w:t>
      </w: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本办法由省财政厅会同省工信厅负责解释。</w:t>
      </w:r>
    </w:p>
    <w:p>
      <w:pPr>
        <w:widowControl/>
        <w:ind w:firstLine="562"/>
        <w:jc w:val="both"/>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rPr>
        <w:t>第十</w:t>
      </w:r>
      <w:r>
        <w:rPr>
          <w:rFonts w:hint="eastAsia" w:ascii="仿宋" w:hAnsi="仿宋" w:eastAsia="仿宋" w:cs="仿宋"/>
          <w:b/>
          <w:bCs/>
          <w:color w:val="333333"/>
          <w:kern w:val="0"/>
          <w:sz w:val="32"/>
          <w:szCs w:val="32"/>
          <w:lang w:eastAsia="zh-CN"/>
        </w:rPr>
        <w:t>八</w:t>
      </w:r>
      <w:r>
        <w:rPr>
          <w:rFonts w:hint="eastAsia" w:ascii="仿宋" w:hAnsi="仿宋" w:eastAsia="仿宋" w:cs="仿宋"/>
          <w:b/>
          <w:bCs/>
          <w:color w:val="333333"/>
          <w:kern w:val="0"/>
          <w:sz w:val="32"/>
          <w:szCs w:val="32"/>
        </w:rPr>
        <w:t>条</w:t>
      </w:r>
      <w:r>
        <w:rPr>
          <w:rFonts w:hint="eastAsia" w:ascii="仿宋" w:hAnsi="仿宋" w:eastAsia="仿宋" w:cs="仿宋"/>
          <w:color w:val="333333"/>
          <w:kern w:val="0"/>
          <w:sz w:val="32"/>
          <w:szCs w:val="32"/>
        </w:rPr>
        <w:t> </w:t>
      </w: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本办法自印发之日起施行，</w:t>
      </w:r>
      <w:r>
        <w:rPr>
          <w:rFonts w:hint="eastAsia" w:ascii="仿宋" w:hAnsi="仿宋" w:eastAsia="仿宋" w:cs="仿宋"/>
          <w:color w:val="333333"/>
          <w:kern w:val="0"/>
          <w:sz w:val="32"/>
          <w:szCs w:val="32"/>
          <w:lang w:eastAsia="zh-CN"/>
        </w:rPr>
        <w:t>实施期至</w:t>
      </w:r>
      <w:r>
        <w:rPr>
          <w:rFonts w:hint="eastAsia" w:ascii="仿宋" w:hAnsi="仿宋" w:eastAsia="仿宋" w:cs="仿宋"/>
          <w:color w:val="333333"/>
          <w:kern w:val="0"/>
          <w:sz w:val="32"/>
          <w:szCs w:val="32"/>
          <w:lang w:val="en-US" w:eastAsia="zh-CN"/>
        </w:rPr>
        <w:t>2025年12月31日</w:t>
      </w:r>
      <w:r>
        <w:rPr>
          <w:rFonts w:hint="eastAsia" w:ascii="仿宋" w:hAnsi="仿宋" w:eastAsia="仿宋" w:cs="仿宋"/>
          <w:color w:val="333333"/>
          <w:kern w:val="0"/>
          <w:sz w:val="32"/>
          <w:szCs w:val="32"/>
          <w:lang w:eastAsia="zh-CN"/>
        </w:rPr>
        <w:t>。</w:t>
      </w:r>
      <w:r>
        <w:rPr>
          <w:rFonts w:hint="eastAsia" w:ascii="仿宋" w:hAnsi="仿宋" w:eastAsia="仿宋" w:cs="仿宋"/>
          <w:color w:val="333333"/>
          <w:kern w:val="0"/>
          <w:sz w:val="32"/>
          <w:szCs w:val="32"/>
        </w:rPr>
        <w:t>《福建省财政厅 福建省工业和信息化厅关于印发&lt;福建省省级中小微企业发展专项资金管理暂行办法&gt;的通知》（闽财企〔2021〕18号）同时废止。</w:t>
      </w:r>
    </w:p>
    <w:p>
      <w:pPr>
        <w:rPr>
          <w:rFonts w:hint="eastAsia" w:ascii="仿宋" w:hAnsi="仿宋" w:eastAsia="仿宋"/>
        </w:rPr>
      </w:pPr>
    </w:p>
    <w:p>
      <w:pPr>
        <w:rPr>
          <w:rFonts w:hint="eastAsia" w:ascii="仿宋" w:hAnsi="仿宋" w:eastAsia="仿宋" w:cs="仿宋"/>
          <w:color w:val="000000"/>
          <w:sz w:val="32"/>
          <w:szCs w:val="32"/>
          <w:lang w:eastAsia="zh-CN"/>
        </w:rPr>
      </w:pPr>
    </w:p>
    <w:p>
      <w:pPr>
        <w:rPr>
          <w:rFonts w:hint="eastAsia" w:ascii="仿宋" w:hAnsi="仿宋" w:eastAsia="仿宋" w:cs="仿宋"/>
          <w:sz w:val="32"/>
          <w:szCs w:val="36"/>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lang w:eastAsia="zh-CN"/>
        </w:rPr>
        <w:drawing>
          <wp:anchor distT="0" distB="0" distL="114300" distR="114300" simplePos="0" relativeHeight="251660288" behindDoc="0" locked="0" layoutInCell="1" allowOverlap="1">
            <wp:simplePos x="0" y="0"/>
            <wp:positionH relativeFrom="page">
              <wp:posOffset>4598670</wp:posOffset>
            </wp:positionH>
            <wp:positionV relativeFrom="page">
              <wp:posOffset>9622790</wp:posOffset>
            </wp:positionV>
            <wp:extent cx="1892300" cy="444500"/>
            <wp:effectExtent l="0" t="0" r="12700" b="12700"/>
            <wp:wrapNone/>
            <wp:docPr id="6" name="barcode" descr="9011001230012403"/>
            <wp:cNvGraphicFramePr/>
            <a:graphic xmlns:a="http://schemas.openxmlformats.org/drawingml/2006/main">
              <a:graphicData uri="http://schemas.openxmlformats.org/drawingml/2006/picture">
                <pic:pic xmlns:pic="http://schemas.openxmlformats.org/drawingml/2006/picture">
                  <pic:nvPicPr>
                    <pic:cNvPr id="6" name="barcode" descr="9011001230012403"/>
                    <pic:cNvPicPr/>
                  </pic:nvPicPr>
                  <pic:blipFill>
                    <a:blip r:embed="rId10"/>
                    <a:stretch>
                      <a:fillRect/>
                    </a:stretch>
                  </pic:blipFill>
                  <pic:spPr>
                    <a:xfrm>
                      <a:off x="0" y="0"/>
                      <a:ext cx="1892300" cy="444500"/>
                    </a:xfrm>
                    <a:prstGeom prst="rect">
                      <a:avLst/>
                    </a:prstGeom>
                  </pic:spPr>
                </pic:pic>
              </a:graphicData>
            </a:graphic>
          </wp:anchor>
        </w:drawing>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tbl>
      <w:tblPr>
        <w:tblStyle w:val="5"/>
        <w:tblpPr w:leftFromText="180" w:rightFromText="180" w:vertAnchor="page" w:horzAnchor="page" w:tblpX="1645" w:tblpY="13722"/>
        <w:tblOverlap w:val="never"/>
        <w:tblW w:w="4885" w:type="pct"/>
        <w:tblInd w:w="0" w:type="dxa"/>
        <w:tblLayout w:type="autofit"/>
        <w:tblCellMar>
          <w:top w:w="0" w:type="dxa"/>
          <w:left w:w="0" w:type="dxa"/>
          <w:bottom w:w="0" w:type="dxa"/>
          <w:right w:w="0" w:type="dxa"/>
        </w:tblCellMar>
      </w:tblPr>
      <w:tblGrid>
        <w:gridCol w:w="4216"/>
        <w:gridCol w:w="4426"/>
      </w:tblGrid>
      <w:tr>
        <w:tblPrEx>
          <w:tblCellMar>
            <w:top w:w="0" w:type="dxa"/>
            <w:left w:w="0" w:type="dxa"/>
            <w:bottom w:w="0" w:type="dxa"/>
            <w:right w:w="0" w:type="dxa"/>
          </w:tblCellMar>
        </w:tblPrEx>
        <w:trPr>
          <w:trHeight w:val="567" w:hRule="atLeast"/>
        </w:trPr>
        <w:tc>
          <w:tcPr>
            <w:tcW w:w="5000" w:type="pct"/>
            <w:gridSpan w:val="2"/>
            <w:tcBorders>
              <w:top w:val="nil"/>
              <w:left w:val="nil"/>
              <w:bottom w:val="single" w:color="auto" w:sz="12" w:space="0"/>
              <w:right w:val="nil"/>
            </w:tcBorders>
            <w:noWrap w:val="0"/>
            <w:vAlign w:val="center"/>
          </w:tcPr>
          <w:p>
            <w:pPr>
              <w:spacing w:after="100" w:afterAutospacing="1" w:line="460" w:lineRule="exact"/>
              <w:ind w:right="205" w:rightChars="65" w:firstLine="0" w:firstLineChars="0"/>
              <w:textAlignment w:val="bottom"/>
              <w:rPr>
                <w:rFonts w:hint="eastAsia" w:ascii="仿宋" w:hAnsi="仿宋" w:eastAsia="仿宋" w:cs="仿宋_GB2312"/>
                <w:color w:val="000000"/>
                <w:sz w:val="28"/>
                <w:szCs w:val="28"/>
                <w:lang w:eastAsia="zh-CN"/>
              </w:rPr>
            </w:pPr>
            <w:r>
              <w:rPr>
                <w:rFonts w:hint="eastAsia" w:ascii="仿宋" w:hAnsi="仿宋" w:eastAsia="仿宋" w:cs="仿宋_GB2312"/>
                <w:color w:val="000000"/>
                <w:sz w:val="28"/>
                <w:szCs w:val="28"/>
              </w:rPr>
              <w:t>信息公开类型：</w:t>
            </w:r>
            <w:bookmarkStart w:id="12" w:name="PO_fgklx"/>
            <w:r>
              <w:rPr>
                <w:rFonts w:hint="eastAsia" w:ascii="仿宋" w:hAnsi="仿宋" w:eastAsia="仿宋" w:cs="仿宋_GB2312"/>
                <w:color w:val="000000"/>
                <w:sz w:val="28"/>
                <w:szCs w:val="28"/>
                <w:lang w:eastAsia="zh-CN"/>
              </w:rPr>
              <w:t>主动公开</w:t>
            </w:r>
            <w:bookmarkEnd w:id="12"/>
          </w:p>
        </w:tc>
      </w:tr>
      <w:tr>
        <w:tblPrEx>
          <w:tblCellMar>
            <w:top w:w="0" w:type="dxa"/>
            <w:left w:w="0" w:type="dxa"/>
            <w:bottom w:w="0" w:type="dxa"/>
            <w:right w:w="0" w:type="dxa"/>
          </w:tblCellMar>
        </w:tblPrEx>
        <w:trPr>
          <w:trHeight w:val="510" w:hRule="atLeast"/>
        </w:trPr>
        <w:tc>
          <w:tcPr>
            <w:tcW w:w="2439" w:type="pct"/>
            <w:tcBorders>
              <w:top w:val="single" w:color="auto" w:sz="8" w:space="0"/>
              <w:left w:val="nil"/>
              <w:bottom w:val="single" w:color="auto" w:sz="12" w:space="0"/>
              <w:right w:val="nil"/>
            </w:tcBorders>
            <w:noWrap w:val="0"/>
            <w:vAlign w:val="center"/>
          </w:tcPr>
          <w:p>
            <w:pPr>
              <w:spacing w:after="100" w:line="460" w:lineRule="exact"/>
              <w:ind w:right="205" w:rightChars="65" w:firstLine="0" w:firstLineChars="0"/>
              <w:rPr>
                <w:rFonts w:ascii="仿宋" w:hAnsi="仿宋" w:eastAsia="仿宋"/>
                <w:color w:val="000000"/>
                <w:sz w:val="28"/>
                <w:szCs w:val="32"/>
              </w:rPr>
            </w:pPr>
            <w:r>
              <w:rPr>
                <w:rFonts w:hint="eastAsia" w:ascii="仿宋" w:hAnsi="仿宋" w:eastAsia="仿宋" w:cs="仿宋_GB2312"/>
                <w:color w:val="000000"/>
                <w:sz w:val="28"/>
                <w:szCs w:val="32"/>
              </w:rPr>
              <w:t>福建省财政厅办公室</w:t>
            </w:r>
          </w:p>
        </w:tc>
        <w:tc>
          <w:tcPr>
            <w:tcW w:w="2560" w:type="pct"/>
            <w:tcBorders>
              <w:top w:val="single" w:color="auto" w:sz="8" w:space="0"/>
              <w:left w:val="nil"/>
              <w:bottom w:val="single" w:color="auto" w:sz="12" w:space="0"/>
              <w:right w:val="nil"/>
            </w:tcBorders>
            <w:noWrap w:val="0"/>
            <w:vAlign w:val="center"/>
          </w:tcPr>
          <w:p>
            <w:pPr>
              <w:wordWrap w:val="0"/>
              <w:spacing w:after="100" w:afterAutospacing="1" w:line="460" w:lineRule="exact"/>
              <w:ind w:right="205" w:rightChars="65" w:firstLine="1104" w:firstLineChars="400"/>
              <w:jc w:val="both"/>
              <w:textAlignment w:val="bottom"/>
              <w:rPr>
                <w:rFonts w:ascii="仿宋_GB2312" w:eastAsia="仿宋_GB2312"/>
                <w:color w:val="000000"/>
                <w:sz w:val="32"/>
                <w:szCs w:val="32"/>
              </w:rPr>
            </w:pPr>
            <w:bookmarkStart w:id="13" w:name="PO_fyfrq"/>
            <w:r>
              <w:rPr>
                <w:rFonts w:hint="eastAsia" w:ascii="仿宋" w:hAnsi="仿宋" w:eastAsia="仿宋" w:cs="仿宋_GB2312"/>
                <w:color w:val="000000"/>
                <w:sz w:val="28"/>
                <w:szCs w:val="32"/>
                <w:lang w:eastAsia="zh-CN"/>
              </w:rPr>
              <w:t>2023年7月</w:t>
            </w:r>
            <w:r>
              <w:rPr>
                <w:rFonts w:hint="eastAsia" w:ascii="仿宋" w:hAnsi="仿宋" w:eastAsia="仿宋" w:cs="仿宋_GB2312"/>
                <w:color w:val="000000"/>
                <w:sz w:val="28"/>
                <w:szCs w:val="32"/>
                <w:lang w:val="en-US" w:eastAsia="zh-CN"/>
              </w:rPr>
              <w:t>28</w:t>
            </w:r>
            <w:r>
              <w:rPr>
                <w:rFonts w:hint="eastAsia" w:ascii="仿宋" w:hAnsi="仿宋" w:eastAsia="仿宋" w:cs="仿宋_GB2312"/>
                <w:color w:val="000000"/>
                <w:sz w:val="28"/>
                <w:szCs w:val="32"/>
                <w:lang w:eastAsia="zh-CN"/>
              </w:rPr>
              <w:t>日</w:t>
            </w:r>
            <w:bookmarkEnd w:id="13"/>
            <w:r>
              <w:rPr>
                <w:rFonts w:hint="eastAsia" w:ascii="仿宋" w:hAnsi="仿宋" w:eastAsia="仿宋" w:cs="仿宋_GB2312"/>
                <w:color w:val="000000"/>
                <w:sz w:val="28"/>
                <w:szCs w:val="32"/>
              </w:rPr>
              <w:t>印发</w:t>
            </w:r>
            <w:r>
              <w:rPr>
                <w:rFonts w:hint="eastAsia" w:ascii="仿宋_GB2312" w:eastAsia="仿宋_GB2312" w:cs="仿宋_GB2312"/>
                <w:color w:val="000000"/>
                <w:sz w:val="32"/>
                <w:szCs w:val="32"/>
              </w:rPr>
              <w:t xml:space="preserve">  </w:t>
            </w:r>
          </w:p>
        </w:tc>
      </w:tr>
    </w:tbl>
    <w:p>
      <w:pPr>
        <w:rPr>
          <w:rFonts w:hint="eastAsia" w:ascii="仿宋" w:hAnsi="仿宋" w:eastAsia="仿宋" w:cs="仿宋"/>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pgNumType w:fmt="numberInDash"/>
      <w:cols w:space="0" w:num="1"/>
      <w:titlePg/>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simsun">
    <w:altName w:val="汉仪新人文宋简"/>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汉仪新人文宋简">
    <w:panose1 w:val="00020600040101010101"/>
    <w:charset w:val="86"/>
    <w:family w:val="auto"/>
    <w:pitch w:val="default"/>
    <w:sig w:usb0="A00002BF" w:usb1="1ACF7CFA" w:usb2="00000016" w:usb3="00000000" w:csb0="0004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right="360"/>
      <w:jc w:val="right"/>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right="640" w:rightChars="20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ind w:right="640" w:rightChars="20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20" w:leftChars="100" w:right="0" w:firstLine="0" w:firstLineChars="0"/>
      <w:rPr>
        <w:rFonts w:hint="eastAsia"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left="320" w:leftChars="100"/>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3"/>
                      <w:ind w:left="320" w:leftChars="100"/>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left="320" w:leftChars="100" w:right="0" w:firstLine="0" w:firstLineChars="0"/>
                          </w:pPr>
                        </w:p>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3"/>
                      <w:ind w:left="320" w:leftChars="100" w:right="0" w:firstLine="0" w:firstLineChars="0"/>
                    </w:pP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3360" behindDoc="0" locked="0" layoutInCell="1" allowOverlap="1">
              <wp:simplePos x="0" y="0"/>
              <wp:positionH relativeFrom="page">
                <wp:posOffset>742950</wp:posOffset>
              </wp:positionH>
              <wp:positionV relativeFrom="paragraph">
                <wp:posOffset>-177165</wp:posOffset>
              </wp:positionV>
              <wp:extent cx="6120130" cy="0"/>
              <wp:effectExtent l="0" t="31750" r="6350" b="44450"/>
              <wp:wrapNone/>
              <wp:docPr id="5" name="直接连接符 5"/>
              <wp:cNvGraphicFramePr/>
              <a:graphic xmlns:a="http://schemas.openxmlformats.org/drawingml/2006/main">
                <a:graphicData uri="http://schemas.microsoft.com/office/word/2010/wordprocessingShape">
                  <wps:wsp>
                    <wps:cNvCnPr/>
                    <wps:spPr>
                      <a:xfrm>
                        <a:off x="0" y="0"/>
                        <a:ext cx="6120130" cy="0"/>
                      </a:xfrm>
                      <a:prstGeom prst="line">
                        <a:avLst/>
                      </a:prstGeom>
                      <a:ln w="63500" cap="flat" cmpd="thinThick">
                        <a:solidFill>
                          <a:srgbClr val="FFFFFF"/>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58.5pt;margin-top:-13.95pt;height:0pt;width:481.9pt;mso-position-horizontal-relative:page;z-index:251663360;mso-width-relative:page;mso-height-relative:page;" filled="f" stroked="t" coordsize="21600,21600" o:gfxdata="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JksWATYAAAADAEAAA8AAAAAAAAAAQAgAAAAOAAAAGRycy9kb3ducmV2LnhtbFBL&#10;AQIUABQAAAAIAIdO4kCuLYrf4AEAAKADAAAOAAAAAAAAAAEAIAAAAD0BAABkcnMvZTJvRG9jLnht&#10;bFBLBQYAAAAABgAGAFkBAACPBQAAAAA=&#10;">
              <v:fill on="f" focussize="0,0"/>
              <v:stroke weight="5pt" color="#FFFFFF" linestyle="thinThick" joinstyle="round"/>
              <v:imagedata o:title=""/>
              <o:lock v:ext="edit" aspectratio="f"/>
            </v:lin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right="320" w:rightChars="100"/>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3"/>
                      <w:ind w:right="320" w:rightChars="100"/>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rPr>
        <w:rFonts w:hint="eastAsia"/>
      </w:rP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A651AD"/>
    <w:multiLevelType w:val="singleLevel"/>
    <w:tmpl w:val="7BA651A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revisionView w:markup="0"/>
  <w:trackRevisions w:val="true"/>
  <w:documentProtection w:enforcement="0"/>
  <w:defaultTabStop w:val="420"/>
  <w:evenAndOddHeaders w:val="true"/>
  <w:drawingGridHorizontalSpacing w:val="158"/>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243"/>
    <w:rsid w:val="000253FA"/>
    <w:rsid w:val="00072E52"/>
    <w:rsid w:val="000B3399"/>
    <w:rsid w:val="000E291E"/>
    <w:rsid w:val="000E6968"/>
    <w:rsid w:val="00116C7A"/>
    <w:rsid w:val="00145C75"/>
    <w:rsid w:val="001538F6"/>
    <w:rsid w:val="001745DC"/>
    <w:rsid w:val="001851DD"/>
    <w:rsid w:val="001865AB"/>
    <w:rsid w:val="00195B6A"/>
    <w:rsid w:val="001B667D"/>
    <w:rsid w:val="002269D4"/>
    <w:rsid w:val="00231764"/>
    <w:rsid w:val="00245BD9"/>
    <w:rsid w:val="00253BD6"/>
    <w:rsid w:val="00283713"/>
    <w:rsid w:val="002C0472"/>
    <w:rsid w:val="002D060D"/>
    <w:rsid w:val="00317448"/>
    <w:rsid w:val="003407EA"/>
    <w:rsid w:val="00354EA9"/>
    <w:rsid w:val="003828FA"/>
    <w:rsid w:val="00396E4C"/>
    <w:rsid w:val="003A09E7"/>
    <w:rsid w:val="00410875"/>
    <w:rsid w:val="00430145"/>
    <w:rsid w:val="00461224"/>
    <w:rsid w:val="00472F9E"/>
    <w:rsid w:val="00475982"/>
    <w:rsid w:val="0048765D"/>
    <w:rsid w:val="004B2FE4"/>
    <w:rsid w:val="004D3B32"/>
    <w:rsid w:val="004E4405"/>
    <w:rsid w:val="005911D6"/>
    <w:rsid w:val="005978EB"/>
    <w:rsid w:val="005D42F2"/>
    <w:rsid w:val="005D5EA3"/>
    <w:rsid w:val="005E7243"/>
    <w:rsid w:val="005E7BDD"/>
    <w:rsid w:val="006614BA"/>
    <w:rsid w:val="0066178F"/>
    <w:rsid w:val="00691574"/>
    <w:rsid w:val="00692022"/>
    <w:rsid w:val="006A3DF8"/>
    <w:rsid w:val="006C73D7"/>
    <w:rsid w:val="00712027"/>
    <w:rsid w:val="00726EF9"/>
    <w:rsid w:val="00750D7C"/>
    <w:rsid w:val="0079728D"/>
    <w:rsid w:val="007C193A"/>
    <w:rsid w:val="007C569E"/>
    <w:rsid w:val="007E5E0D"/>
    <w:rsid w:val="007F3A72"/>
    <w:rsid w:val="00804A05"/>
    <w:rsid w:val="0087156E"/>
    <w:rsid w:val="0088476D"/>
    <w:rsid w:val="008A0FF1"/>
    <w:rsid w:val="008B6098"/>
    <w:rsid w:val="008E2231"/>
    <w:rsid w:val="00982794"/>
    <w:rsid w:val="009C7120"/>
    <w:rsid w:val="009E611E"/>
    <w:rsid w:val="009E7ED0"/>
    <w:rsid w:val="009F6E0B"/>
    <w:rsid w:val="00A239A5"/>
    <w:rsid w:val="00A26E0B"/>
    <w:rsid w:val="00A32370"/>
    <w:rsid w:val="00A75DE6"/>
    <w:rsid w:val="00A8598A"/>
    <w:rsid w:val="00A9035B"/>
    <w:rsid w:val="00AB00BB"/>
    <w:rsid w:val="00B31BED"/>
    <w:rsid w:val="00B34692"/>
    <w:rsid w:val="00B47EE3"/>
    <w:rsid w:val="00BC54D6"/>
    <w:rsid w:val="00BD6C8F"/>
    <w:rsid w:val="00BE0177"/>
    <w:rsid w:val="00BF17B9"/>
    <w:rsid w:val="00C37F2A"/>
    <w:rsid w:val="00C52395"/>
    <w:rsid w:val="00C60497"/>
    <w:rsid w:val="00C7277C"/>
    <w:rsid w:val="00C8215B"/>
    <w:rsid w:val="00C909AD"/>
    <w:rsid w:val="00C95624"/>
    <w:rsid w:val="00CB6A69"/>
    <w:rsid w:val="00CC1487"/>
    <w:rsid w:val="00D841E3"/>
    <w:rsid w:val="00DA3F99"/>
    <w:rsid w:val="00DC0D99"/>
    <w:rsid w:val="00DE1F26"/>
    <w:rsid w:val="00DE3ED6"/>
    <w:rsid w:val="00DF3572"/>
    <w:rsid w:val="00E06983"/>
    <w:rsid w:val="00E32094"/>
    <w:rsid w:val="00E503FB"/>
    <w:rsid w:val="00F4723B"/>
    <w:rsid w:val="00F954E9"/>
    <w:rsid w:val="00FC58D3"/>
    <w:rsid w:val="028528E4"/>
    <w:rsid w:val="03352888"/>
    <w:rsid w:val="04AC5B5A"/>
    <w:rsid w:val="216915F0"/>
    <w:rsid w:val="3C732D21"/>
    <w:rsid w:val="3C7671BF"/>
    <w:rsid w:val="4103650A"/>
    <w:rsid w:val="4AB32DE6"/>
    <w:rsid w:val="4B3C5314"/>
    <w:rsid w:val="4BD227FC"/>
    <w:rsid w:val="4E776090"/>
    <w:rsid w:val="570E6174"/>
    <w:rsid w:val="5A815D32"/>
    <w:rsid w:val="5DEC1E09"/>
    <w:rsid w:val="5DF5346E"/>
    <w:rsid w:val="76FFAB4D"/>
    <w:rsid w:val="7AABD922"/>
    <w:rsid w:val="7EFF6425"/>
    <w:rsid w:val="9FF3EDE8"/>
    <w:rsid w:val="EF4BED2C"/>
    <w:rsid w:val="FDFE8642"/>
    <w:rsid w:val="FE9F8ABC"/>
    <w:rsid w:val="FF7406BB"/>
    <w:rsid w:val="FFC93952"/>
    <w:rsid w:val="FFEAD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 w:asciiTheme="minorHAnsi" w:hAnsiTheme="minorHAnsi" w:eastAsiaTheme="minorEastAsia"/>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rPr>
  </w:style>
  <w:style w:type="paragraph" w:styleId="3">
    <w:name w:val="footer"/>
    <w:basedOn w:val="1"/>
    <w:qFormat/>
    <w:uiPriority w:val="0"/>
    <w:pPr>
      <w:tabs>
        <w:tab w:val="center" w:pos="4153"/>
        <w:tab w:val="right" w:pos="8306"/>
      </w:tabs>
      <w:snapToGrid w:val="0"/>
      <w:jc w:val="left"/>
    </w:pPr>
    <w:rPr>
      <w:rFonts w:ascii="Times New Roman" w:hAnsi="Times New Roman" w:eastAsia="仿宋" w:cs="Times New Roman"/>
      <w:color w:val="000000"/>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仿宋" w:cs="Times New Roman"/>
      <w:color w:val="000000"/>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rPr>
      <w:rFonts w:ascii="Times New Roman" w:hAnsi="Times New Roman" w:eastAsia="宋体" w:cs="Times New Roman"/>
    </w:rPr>
  </w:style>
  <w:style w:type="paragraph" w:customStyle="1" w:styleId="9">
    <w:name w:val="正文 + 仿宋_GB2312"/>
    <w:basedOn w:val="1"/>
    <w:qFormat/>
    <w:uiPriority w:val="0"/>
    <w:pPr>
      <w:framePr w:hSpace="180" w:wrap="around" w:vAnchor="text" w:hAnchor="text" w:y="1"/>
      <w:spacing w:before="120" w:line="318" w:lineRule="atLeast"/>
      <w:jc w:val="center"/>
      <w:textAlignment w:val="bottom"/>
    </w:pPr>
    <w:rPr>
      <w:rFonts w:ascii="Times New Roman" w:hAnsi="Times New Roman" w:eastAsia="仿宋_GB2312"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Words>
  <Characters>9</Characters>
  <Lines>1</Lines>
  <Paragraphs>1</Paragraphs>
  <TotalTime>1</TotalTime>
  <ScaleCrop>false</ScaleCrop>
  <LinksUpToDate>false</LinksUpToDate>
  <CharactersWithSpaces>9</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2019-12-25T04:26:00Z</dcterms:created>
  <dc:creator>duan z</dc:creator>
  <cp:lastModifiedBy>邱艺瑶</cp:lastModifiedBy>
  <cp:lastPrinted>2023-07-26T10:01:00Z</cp:lastPrinted>
  <dcterms:modified xsi:type="dcterms:W3CDTF">2023-08-01T07:02:25Z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