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580" w:lineRule="exact"/>
        <w:jc w:val="both"/>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附件</w:t>
      </w:r>
      <w:r>
        <w:rPr>
          <w:rFonts w:hint="eastAsia" w:ascii="黑体" w:hAnsi="黑体" w:eastAsia="黑体" w:cs="黑体"/>
          <w:b w:val="0"/>
          <w:bCs w:val="0"/>
          <w:color w:val="auto"/>
          <w:sz w:val="32"/>
          <w:szCs w:val="32"/>
          <w:highlight w:val="none"/>
          <w:u w:val="none"/>
          <w:lang w:val="en-US" w:eastAsia="zh-CN"/>
        </w:rPr>
        <w:t>3</w:t>
      </w:r>
    </w:p>
    <w:p>
      <w:pPr>
        <w:keepNext w:val="0"/>
        <w:keepLines w:val="0"/>
        <w:pageBreakBefore w:val="0"/>
        <w:kinsoku/>
        <w:wordWrap/>
        <w:overflowPunct/>
        <w:topLinePunct w:val="0"/>
        <w:autoSpaceDE/>
        <w:autoSpaceDN/>
        <w:bidi w:val="0"/>
        <w:snapToGrid w:val="0"/>
        <w:spacing w:line="580" w:lineRule="exact"/>
        <w:jc w:val="both"/>
        <w:rPr>
          <w:rFonts w:hint="default" w:ascii="黑体" w:hAnsi="黑体" w:eastAsia="黑体" w:cs="黑体"/>
          <w:b w:val="0"/>
          <w:bCs w:val="0"/>
          <w:color w:val="auto"/>
          <w:sz w:val="32"/>
          <w:szCs w:val="32"/>
          <w:highlight w:val="none"/>
          <w:u w:val="none"/>
          <w:lang w:val="en-US" w:eastAsia="zh-CN"/>
        </w:rPr>
      </w:pPr>
    </w:p>
    <w:p>
      <w:pPr>
        <w:keepNext w:val="0"/>
        <w:keepLines w:val="0"/>
        <w:pageBreakBefore w:val="0"/>
        <w:kinsoku/>
        <w:wordWrap/>
        <w:overflowPunct/>
        <w:topLinePunct w:val="0"/>
        <w:autoSpaceDE/>
        <w:autoSpaceDN/>
        <w:bidi w:val="0"/>
        <w:snapToGrid w:val="0"/>
        <w:spacing w:line="580" w:lineRule="exact"/>
        <w:jc w:val="center"/>
        <w:rPr>
          <w:rFonts w:hint="eastAsia" w:ascii="方正小标宋简体" w:hAnsi="方正小标宋简体" w:eastAsia="方正小标宋简体" w:cs="方正小标宋简体"/>
          <w:b w:val="0"/>
          <w:bCs w:val="0"/>
          <w:color w:val="auto"/>
          <w:sz w:val="44"/>
          <w:szCs w:val="44"/>
          <w:highlight w:val="none"/>
          <w:u w:val="none" w:color="auto"/>
        </w:rPr>
      </w:pPr>
      <w:r>
        <w:rPr>
          <w:rFonts w:hint="eastAsia" w:ascii="方正小标宋简体" w:hAnsi="方正小标宋简体" w:eastAsia="方正小标宋简体" w:cs="方正小标宋简体"/>
          <w:b w:val="0"/>
          <w:bCs w:val="0"/>
          <w:color w:val="auto"/>
          <w:sz w:val="44"/>
          <w:szCs w:val="44"/>
          <w:highlight w:val="none"/>
          <w:u w:val="none" w:color="auto"/>
        </w:rPr>
        <w:t>福建省省级财政林业</w:t>
      </w:r>
      <w:r>
        <w:rPr>
          <w:rFonts w:hint="eastAsia" w:ascii="方正小标宋简体" w:hAnsi="方正小标宋简体" w:eastAsia="方正小标宋简体" w:cs="方正小标宋简体"/>
          <w:b w:val="0"/>
          <w:bCs w:val="0"/>
          <w:color w:val="auto"/>
          <w:sz w:val="44"/>
          <w:szCs w:val="44"/>
          <w:highlight w:val="none"/>
          <w:u w:val="none" w:color="auto"/>
          <w:lang w:eastAsia="zh-CN"/>
        </w:rPr>
        <w:t>经济发展</w:t>
      </w:r>
      <w:r>
        <w:rPr>
          <w:rFonts w:hint="eastAsia" w:ascii="方正小标宋简体" w:hAnsi="方正小标宋简体" w:eastAsia="方正小标宋简体" w:cs="方正小标宋简体"/>
          <w:b w:val="0"/>
          <w:bCs w:val="0"/>
          <w:color w:val="auto"/>
          <w:sz w:val="44"/>
          <w:szCs w:val="44"/>
          <w:highlight w:val="none"/>
          <w:u w:val="none" w:color="auto"/>
        </w:rPr>
        <w:t>专项资金</w:t>
      </w:r>
    </w:p>
    <w:p>
      <w:pPr>
        <w:keepNext w:val="0"/>
        <w:keepLines w:val="0"/>
        <w:pageBreakBefore w:val="0"/>
        <w:kinsoku/>
        <w:wordWrap/>
        <w:overflowPunct/>
        <w:topLinePunct w:val="0"/>
        <w:autoSpaceDE/>
        <w:autoSpaceDN/>
        <w:bidi w:val="0"/>
        <w:snapToGrid w:val="0"/>
        <w:spacing w:line="580" w:lineRule="exact"/>
        <w:jc w:val="center"/>
        <w:rPr>
          <w:rFonts w:hint="eastAsia" w:ascii="方正小标宋简体" w:hAnsi="方正小标宋简体" w:eastAsia="方正小标宋简体" w:cs="方正小标宋简体"/>
          <w:b w:val="0"/>
          <w:bCs w:val="0"/>
          <w:color w:val="auto"/>
          <w:sz w:val="44"/>
          <w:szCs w:val="44"/>
          <w:highlight w:val="none"/>
          <w:u w:val="none" w:color="auto"/>
        </w:rPr>
      </w:pPr>
      <w:r>
        <w:rPr>
          <w:rFonts w:hint="eastAsia" w:ascii="方正小标宋简体" w:hAnsi="方正小标宋简体" w:eastAsia="方正小标宋简体" w:cs="方正小标宋简体"/>
          <w:b w:val="0"/>
          <w:bCs w:val="0"/>
          <w:color w:val="auto"/>
          <w:sz w:val="44"/>
          <w:szCs w:val="44"/>
          <w:highlight w:val="none"/>
          <w:u w:val="none" w:color="auto"/>
        </w:rPr>
        <w:t>管理办法</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outlineLvl w:val="9"/>
        <w:rPr>
          <w:rFonts w:hint="eastAsia" w:ascii="黑体" w:hAnsi="黑体" w:eastAsia="黑体" w:cs="黑体"/>
          <w:b w:val="0"/>
          <w:bCs/>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600" w:lineRule="exact"/>
        <w:jc w:val="center"/>
        <w:textAlignment w:val="auto"/>
        <w:outlineLvl w:val="9"/>
        <w:rPr>
          <w:rFonts w:hint="eastAsia" w:ascii="黑体" w:hAnsi="黑体" w:eastAsia="黑体" w:cs="黑体"/>
          <w:b w:val="0"/>
          <w:bCs/>
          <w:color w:val="auto"/>
          <w:sz w:val="32"/>
          <w:szCs w:val="32"/>
          <w:highlight w:val="none"/>
          <w:u w:val="none" w:color="auto"/>
        </w:rPr>
      </w:pPr>
      <w:r>
        <w:rPr>
          <w:rFonts w:hint="eastAsia" w:ascii="黑体" w:hAnsi="黑体" w:eastAsia="黑体" w:cs="黑体"/>
          <w:b w:val="0"/>
          <w:bCs/>
          <w:color w:val="auto"/>
          <w:sz w:val="32"/>
          <w:szCs w:val="32"/>
          <w:highlight w:val="none"/>
          <w:u w:val="none" w:color="auto"/>
        </w:rPr>
        <w:t xml:space="preserve">第一章 </w:t>
      </w:r>
      <w:r>
        <w:rPr>
          <w:rFonts w:hint="eastAsia" w:ascii="黑体" w:hAnsi="黑体" w:eastAsia="黑体" w:cs="黑体"/>
          <w:b w:val="0"/>
          <w:bCs/>
          <w:color w:val="auto"/>
          <w:sz w:val="32"/>
          <w:szCs w:val="32"/>
          <w:highlight w:val="none"/>
          <w:u w:val="none" w:color="auto"/>
          <w:lang w:val="en-US" w:eastAsia="zh-CN"/>
        </w:rPr>
        <w:t xml:space="preserve"> </w:t>
      </w:r>
      <w:r>
        <w:rPr>
          <w:rFonts w:hint="eastAsia" w:ascii="黑体" w:hAnsi="黑体" w:eastAsia="黑体" w:cs="黑体"/>
          <w:b w:val="0"/>
          <w:bCs/>
          <w:color w:val="auto"/>
          <w:sz w:val="32"/>
          <w:szCs w:val="32"/>
          <w:highlight w:val="none"/>
          <w:u w:val="none" w:color="auto"/>
        </w:rPr>
        <w:t>总</w:t>
      </w:r>
      <w:r>
        <w:rPr>
          <w:rFonts w:hint="eastAsia" w:ascii="黑体" w:hAnsi="黑体" w:eastAsia="黑体" w:cs="黑体"/>
          <w:b w:val="0"/>
          <w:bCs/>
          <w:color w:val="auto"/>
          <w:sz w:val="32"/>
          <w:szCs w:val="32"/>
          <w:highlight w:val="none"/>
          <w:u w:val="none" w:color="auto"/>
          <w:lang w:val="en-US" w:eastAsia="zh-CN"/>
        </w:rPr>
        <w:t xml:space="preserve">  </w:t>
      </w:r>
      <w:r>
        <w:rPr>
          <w:rFonts w:hint="eastAsia" w:ascii="黑体" w:hAnsi="黑体" w:eastAsia="黑体" w:cs="黑体"/>
          <w:b w:val="0"/>
          <w:bCs/>
          <w:color w:val="auto"/>
          <w:sz w:val="32"/>
          <w:szCs w:val="32"/>
          <w:highlight w:val="none"/>
          <w:u w:val="none" w:color="auto"/>
        </w:rPr>
        <w:t>则</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仿宋_GB2312" w:hAnsi="仿宋" w:eastAsia="仿宋_GB2312" w:cs="Times New Roman"/>
          <w:color w:val="auto"/>
          <w:sz w:val="32"/>
          <w:szCs w:val="32"/>
          <w:highlight w:val="none"/>
          <w:u w:val="none"/>
        </w:rPr>
      </w:pPr>
      <w:r>
        <w:rPr>
          <w:rFonts w:hint="eastAsia" w:ascii="仿宋_GB2312" w:hAnsi="仿宋" w:eastAsia="仿宋_GB2312"/>
          <w:b/>
          <w:color w:val="auto"/>
          <w:kern w:val="0"/>
          <w:sz w:val="32"/>
          <w:szCs w:val="32"/>
          <w:highlight w:val="none"/>
          <w:u w:val="none" w:color="auto"/>
        </w:rPr>
        <w:t>第一条</w:t>
      </w:r>
      <w:r>
        <w:rPr>
          <w:rFonts w:hint="eastAsia" w:ascii="仿宋_GB2312" w:eastAsia="仿宋_GB2312"/>
          <w:b/>
          <w:color w:val="auto"/>
          <w:sz w:val="32"/>
          <w:szCs w:val="32"/>
          <w:highlight w:val="none"/>
          <w:u w:val="none" w:color="auto"/>
        </w:rPr>
        <w:t xml:space="preserve">  </w:t>
      </w:r>
      <w:r>
        <w:rPr>
          <w:rFonts w:hint="eastAsia" w:ascii="仿宋_GB2312" w:hAnsi="仿宋" w:eastAsia="仿宋_GB2312"/>
          <w:color w:val="auto"/>
          <w:sz w:val="32"/>
          <w:szCs w:val="32"/>
          <w:highlight w:val="none"/>
          <w:u w:val="none" w:color="auto"/>
        </w:rPr>
        <w:t>为了加强和规范省级财政</w:t>
      </w:r>
      <w:r>
        <w:rPr>
          <w:rFonts w:hint="eastAsia" w:ascii="仿宋_GB2312" w:hAnsi="仿宋" w:eastAsia="仿宋_GB2312"/>
          <w:color w:val="auto"/>
          <w:sz w:val="32"/>
          <w:szCs w:val="32"/>
          <w:highlight w:val="none"/>
          <w:u w:val="none" w:color="auto"/>
          <w:lang w:eastAsia="zh-CN"/>
        </w:rPr>
        <w:t>林业经济发展</w:t>
      </w:r>
      <w:r>
        <w:rPr>
          <w:rFonts w:hint="eastAsia" w:ascii="仿宋_GB2312" w:hAnsi="仿宋" w:eastAsia="仿宋_GB2312"/>
          <w:color w:val="auto"/>
          <w:sz w:val="32"/>
          <w:szCs w:val="32"/>
          <w:highlight w:val="none"/>
          <w:u w:val="none" w:color="auto"/>
        </w:rPr>
        <w:t>专项资金使用管理，提高资金使用效益，</w:t>
      </w:r>
      <w:r>
        <w:rPr>
          <w:rFonts w:hint="eastAsia" w:ascii="仿宋_GB2312" w:hAnsi="仿宋" w:eastAsia="仿宋_GB2312"/>
          <w:color w:val="auto"/>
          <w:sz w:val="32"/>
          <w:szCs w:val="32"/>
          <w:highlight w:val="none"/>
          <w:u w:val="none" w:color="auto"/>
          <w:lang w:eastAsia="zh-CN"/>
        </w:rPr>
        <w:t>持续推进林业改革和产业发展，</w:t>
      </w:r>
      <w:r>
        <w:rPr>
          <w:rFonts w:hint="eastAsia" w:ascii="仿宋_GB2312" w:hAnsi="仿宋" w:eastAsia="仿宋_GB2312"/>
          <w:color w:val="auto"/>
          <w:sz w:val="32"/>
          <w:szCs w:val="32"/>
          <w:highlight w:val="none"/>
          <w:u w:val="none" w:color="auto"/>
        </w:rPr>
        <w:t>促进林业</w:t>
      </w:r>
      <w:r>
        <w:rPr>
          <w:rFonts w:hint="eastAsia" w:ascii="仿宋_GB2312" w:hAnsi="仿宋" w:eastAsia="仿宋_GB2312"/>
          <w:color w:val="auto"/>
          <w:sz w:val="32"/>
          <w:szCs w:val="32"/>
          <w:highlight w:val="none"/>
          <w:u w:val="none" w:color="auto"/>
          <w:lang w:eastAsia="zh-CN"/>
        </w:rPr>
        <w:t>经济高质量</w:t>
      </w:r>
      <w:r>
        <w:rPr>
          <w:rFonts w:hint="eastAsia" w:ascii="仿宋_GB2312" w:hAnsi="仿宋" w:eastAsia="仿宋_GB2312"/>
          <w:color w:val="auto"/>
          <w:sz w:val="32"/>
          <w:szCs w:val="32"/>
          <w:highlight w:val="none"/>
          <w:u w:val="none" w:color="auto"/>
        </w:rPr>
        <w:t>发展</w:t>
      </w:r>
      <w:r>
        <w:rPr>
          <w:rFonts w:hint="eastAsia" w:ascii="仿宋_GB2312" w:hAnsi="仿宋" w:eastAsia="仿宋_GB2312"/>
          <w:color w:val="auto"/>
          <w:sz w:val="32"/>
          <w:szCs w:val="32"/>
          <w:highlight w:val="none"/>
          <w:u w:val="none" w:color="auto"/>
          <w:lang w:eastAsia="zh-CN"/>
        </w:rPr>
        <w:t>，</w:t>
      </w:r>
      <w:r>
        <w:rPr>
          <w:rFonts w:hint="eastAsia" w:ascii="仿宋_GB2312" w:hAnsi="仿宋" w:eastAsia="仿宋_GB2312" w:cs="仿宋"/>
          <w:color w:val="auto"/>
          <w:sz w:val="32"/>
          <w:szCs w:val="32"/>
          <w:highlight w:val="none"/>
          <w:u w:val="none"/>
          <w:lang w:val="en-US" w:eastAsia="zh-CN"/>
        </w:rPr>
        <w:t>有力有效保障我省建设全国深化集体林权制度改革先行区，</w:t>
      </w:r>
      <w:r>
        <w:rPr>
          <w:rFonts w:hint="eastAsia" w:ascii="仿宋_GB2312" w:hAnsi="仿宋" w:eastAsia="仿宋_GB2312" w:cs="Times New Roman"/>
          <w:color w:val="auto"/>
          <w:sz w:val="32"/>
          <w:szCs w:val="32"/>
          <w:highlight w:val="none"/>
          <w:u w:val="none"/>
        </w:rPr>
        <w:t>根据</w:t>
      </w:r>
      <w:r>
        <w:rPr>
          <w:rFonts w:hint="eastAsia" w:ascii="仿宋_GB2312" w:hAnsi="仿宋" w:eastAsia="仿宋_GB2312" w:cs="Times New Roman"/>
          <w:color w:val="auto"/>
          <w:sz w:val="32"/>
          <w:szCs w:val="32"/>
          <w:highlight w:val="none"/>
          <w:u w:val="none"/>
          <w:lang w:eastAsia="zh-CN"/>
        </w:rPr>
        <w:t>《中华人民共和国预算法》《中华人民共和国森林法》《福建省省级财政专项资金管理办法》等规定</w:t>
      </w:r>
      <w:r>
        <w:rPr>
          <w:rFonts w:hint="eastAsia" w:ascii="仿宋_GB2312" w:hAnsi="仿宋" w:eastAsia="仿宋_GB2312" w:cs="Times New Roman"/>
          <w:color w:val="auto"/>
          <w:sz w:val="32"/>
          <w:szCs w:val="32"/>
          <w:highlight w:val="none"/>
          <w:u w:val="none"/>
        </w:rPr>
        <w:t>，制定本办法。</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仿宋_GB2312" w:hAnsi="仿宋" w:eastAsia="仿宋_GB2312"/>
          <w:color w:val="auto"/>
          <w:sz w:val="32"/>
          <w:szCs w:val="32"/>
          <w:highlight w:val="none"/>
          <w:u w:val="none" w:color="auto"/>
          <w:lang w:val="en-US" w:eastAsia="zh-CN"/>
        </w:rPr>
      </w:pPr>
      <w:r>
        <w:rPr>
          <w:rFonts w:hint="eastAsia" w:ascii="仿宋_GB2312" w:hAnsi="仿宋" w:eastAsia="仿宋_GB2312"/>
          <w:b/>
          <w:color w:val="auto"/>
          <w:kern w:val="0"/>
          <w:sz w:val="32"/>
          <w:szCs w:val="32"/>
          <w:highlight w:val="none"/>
          <w:u w:val="none" w:color="auto"/>
        </w:rPr>
        <w:t>第二条</w:t>
      </w:r>
      <w:r>
        <w:rPr>
          <w:rFonts w:hint="eastAsia" w:ascii="仿宋_GB2312" w:hAnsi="仿宋" w:eastAsia="仿宋_GB2312"/>
          <w:color w:val="auto"/>
          <w:sz w:val="32"/>
          <w:szCs w:val="32"/>
          <w:highlight w:val="none"/>
          <w:u w:val="none" w:color="auto"/>
        </w:rPr>
        <w:t xml:space="preserve">  本办法所称省级财政林业</w:t>
      </w:r>
      <w:r>
        <w:rPr>
          <w:rFonts w:hint="eastAsia" w:ascii="仿宋_GB2312" w:hAnsi="仿宋" w:eastAsia="仿宋_GB2312"/>
          <w:color w:val="auto"/>
          <w:sz w:val="32"/>
          <w:szCs w:val="32"/>
          <w:highlight w:val="none"/>
          <w:u w:val="none" w:color="auto"/>
          <w:lang w:eastAsia="zh-CN"/>
        </w:rPr>
        <w:t>经济发展</w:t>
      </w:r>
      <w:r>
        <w:rPr>
          <w:rFonts w:hint="eastAsia" w:ascii="仿宋_GB2312" w:hAnsi="仿宋" w:eastAsia="仿宋_GB2312"/>
          <w:color w:val="auto"/>
          <w:sz w:val="32"/>
          <w:szCs w:val="32"/>
          <w:highlight w:val="none"/>
          <w:u w:val="none" w:color="auto"/>
        </w:rPr>
        <w:t>专项资金（以下简称“</w:t>
      </w:r>
      <w:r>
        <w:rPr>
          <w:rFonts w:hint="eastAsia" w:ascii="仿宋_GB2312" w:hAnsi="仿宋" w:eastAsia="仿宋_GB2312"/>
          <w:color w:val="auto"/>
          <w:sz w:val="32"/>
          <w:szCs w:val="32"/>
          <w:highlight w:val="none"/>
          <w:u w:val="none" w:color="auto"/>
          <w:lang w:eastAsia="zh-CN"/>
        </w:rPr>
        <w:t>专项</w:t>
      </w:r>
      <w:r>
        <w:rPr>
          <w:rFonts w:hint="eastAsia" w:ascii="仿宋_GB2312" w:hAnsi="仿宋" w:eastAsia="仿宋_GB2312"/>
          <w:color w:val="auto"/>
          <w:sz w:val="32"/>
          <w:szCs w:val="32"/>
          <w:highlight w:val="none"/>
          <w:u w:val="none" w:color="auto"/>
        </w:rPr>
        <w:t>资金”）是指省级财政预算安排</w:t>
      </w:r>
      <w:r>
        <w:rPr>
          <w:rFonts w:hint="eastAsia" w:ascii="仿宋_GB2312" w:hAnsi="仿宋" w:eastAsia="仿宋_GB2312"/>
          <w:color w:val="auto"/>
          <w:sz w:val="32"/>
          <w:szCs w:val="32"/>
          <w:highlight w:val="none"/>
          <w:u w:val="none" w:color="auto"/>
          <w:lang w:eastAsia="zh-CN"/>
        </w:rPr>
        <w:t>用于林业经济发展方面的共同财政事权或引导性扶持资金，主要包括</w:t>
      </w:r>
      <w:r>
        <w:rPr>
          <w:rFonts w:hint="eastAsia" w:ascii="仿宋_GB2312" w:hAnsi="仿宋" w:eastAsia="仿宋_GB2312" w:cs="仿宋"/>
          <w:bCs/>
          <w:color w:val="auto"/>
          <w:sz w:val="32"/>
          <w:szCs w:val="32"/>
          <w:highlight w:val="none"/>
          <w:u w:val="none" w:color="auto"/>
        </w:rPr>
        <w:t>林下经济</w:t>
      </w:r>
      <w:r>
        <w:rPr>
          <w:rFonts w:hint="eastAsia" w:ascii="仿宋_GB2312" w:hAnsi="仿宋" w:eastAsia="仿宋_GB2312" w:cs="仿宋"/>
          <w:bCs/>
          <w:color w:val="auto"/>
          <w:sz w:val="32"/>
          <w:szCs w:val="32"/>
          <w:highlight w:val="none"/>
          <w:u w:val="none" w:color="auto"/>
          <w:lang w:eastAsia="zh-CN"/>
        </w:rPr>
        <w:t>发展</w:t>
      </w:r>
      <w:r>
        <w:rPr>
          <w:rFonts w:hint="eastAsia" w:ascii="仿宋_GB2312" w:hAnsi="仿宋" w:eastAsia="仿宋_GB2312" w:cs="仿宋"/>
          <w:bCs/>
          <w:color w:val="auto"/>
          <w:sz w:val="32"/>
          <w:szCs w:val="32"/>
          <w:highlight w:val="none"/>
          <w:u w:val="none" w:color="auto"/>
        </w:rPr>
        <w:t>、竹产业发展、花卉产业发展、林业科技推广、</w:t>
      </w:r>
      <w:r>
        <w:rPr>
          <w:rFonts w:hint="eastAsia" w:ascii="仿宋_GB2312" w:hAnsi="仿宋" w:eastAsia="仿宋_GB2312"/>
          <w:color w:val="auto"/>
          <w:sz w:val="32"/>
          <w:szCs w:val="32"/>
          <w:highlight w:val="none"/>
          <w:u w:val="none" w:color="auto"/>
        </w:rPr>
        <w:t>新型林业</w:t>
      </w:r>
      <w:r>
        <w:rPr>
          <w:rFonts w:hint="eastAsia" w:ascii="仿宋_GB2312" w:hAnsi="仿宋" w:eastAsia="仿宋_GB2312" w:cs="仿宋"/>
          <w:bCs/>
          <w:color w:val="auto"/>
          <w:sz w:val="32"/>
          <w:szCs w:val="32"/>
          <w:highlight w:val="none"/>
          <w:u w:val="none" w:color="auto"/>
        </w:rPr>
        <w:t>经营主体</w:t>
      </w:r>
      <w:r>
        <w:rPr>
          <w:rFonts w:hint="eastAsia" w:ascii="仿宋_GB2312" w:hAnsi="仿宋" w:eastAsia="仿宋_GB2312" w:cs="仿宋"/>
          <w:bCs/>
          <w:color w:val="auto"/>
          <w:sz w:val="32"/>
          <w:szCs w:val="32"/>
          <w:highlight w:val="none"/>
          <w:u w:val="none" w:color="auto"/>
          <w:lang w:eastAsia="zh-CN"/>
        </w:rPr>
        <w:t>建设、林业改革试点、林业贷款贴息</w:t>
      </w:r>
      <w:r>
        <w:rPr>
          <w:rFonts w:hint="eastAsia" w:ascii="仿宋_GB2312" w:hAnsi="仿宋" w:eastAsia="仿宋_GB2312"/>
          <w:color w:val="auto"/>
          <w:sz w:val="32"/>
          <w:szCs w:val="32"/>
          <w:highlight w:val="none"/>
          <w:u w:val="none" w:color="auto"/>
        </w:rPr>
        <w:t>等</w:t>
      </w:r>
      <w:r>
        <w:rPr>
          <w:rFonts w:hint="eastAsia" w:ascii="仿宋_GB2312" w:hAnsi="仿宋" w:eastAsia="仿宋_GB2312"/>
          <w:color w:val="auto"/>
          <w:sz w:val="32"/>
          <w:szCs w:val="32"/>
          <w:highlight w:val="none"/>
          <w:u w:val="none" w:color="auto"/>
          <w:lang w:eastAsia="zh-CN"/>
        </w:rPr>
        <w:t>方面的支出</w:t>
      </w:r>
      <w:r>
        <w:rPr>
          <w:rFonts w:hint="eastAsia" w:ascii="仿宋_GB2312" w:hAnsi="仿宋" w:eastAsia="仿宋_GB2312"/>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仿宋" w:eastAsia="仿宋_GB2312" w:cs="Times New Roman"/>
          <w:color w:val="auto"/>
          <w:kern w:val="0"/>
          <w:sz w:val="32"/>
          <w:szCs w:val="32"/>
          <w:highlight w:val="none"/>
          <w:u w:val="none" w:color="auto"/>
        </w:rPr>
      </w:pPr>
      <w:r>
        <w:rPr>
          <w:rFonts w:hint="eastAsia" w:ascii="仿宋_GB2312" w:hAnsi="仿宋" w:eastAsia="仿宋_GB2312"/>
          <w:b/>
          <w:color w:val="auto"/>
          <w:sz w:val="32"/>
          <w:szCs w:val="32"/>
          <w:highlight w:val="none"/>
          <w:u w:val="none" w:color="auto"/>
        </w:rPr>
        <w:t>第三条</w:t>
      </w:r>
      <w:r>
        <w:rPr>
          <w:rFonts w:hint="eastAsia" w:ascii="仿宋_GB2312" w:hAnsi="仿宋" w:eastAsia="仿宋_GB2312"/>
          <w:color w:val="auto"/>
          <w:sz w:val="32"/>
          <w:szCs w:val="32"/>
          <w:highlight w:val="none"/>
          <w:u w:val="none" w:color="auto"/>
        </w:rPr>
        <w:t xml:space="preserve">  </w:t>
      </w:r>
      <w:r>
        <w:rPr>
          <w:rFonts w:hint="eastAsia" w:ascii="仿宋_GB2312" w:hAnsi="仿宋" w:eastAsia="仿宋_GB2312" w:cs="Times New Roman"/>
          <w:color w:val="auto"/>
          <w:kern w:val="0"/>
          <w:sz w:val="32"/>
          <w:szCs w:val="32"/>
          <w:highlight w:val="none"/>
          <w:u w:val="none" w:color="auto"/>
        </w:rPr>
        <w:t>专项资金由财政、林业部门共同管理。</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仿宋" w:eastAsia="仿宋_GB2312" w:cs="宋体"/>
          <w:color w:val="auto"/>
          <w:sz w:val="32"/>
          <w:szCs w:val="32"/>
          <w:highlight w:val="none"/>
          <w:u w:val="none" w:color="auto"/>
        </w:rPr>
      </w:pPr>
      <w:r>
        <w:rPr>
          <w:rFonts w:hint="eastAsia" w:ascii="仿宋_GB2312" w:hAnsi="仿宋" w:eastAsia="仿宋_GB2312" w:cs="Times New Roman"/>
          <w:color w:val="auto"/>
          <w:kern w:val="0"/>
          <w:sz w:val="32"/>
          <w:szCs w:val="32"/>
          <w:highlight w:val="none"/>
          <w:u w:val="none" w:color="auto"/>
        </w:rPr>
        <w:t>省</w:t>
      </w:r>
      <w:r>
        <w:rPr>
          <w:rFonts w:hint="eastAsia" w:ascii="仿宋_GB2312" w:hAnsi="仿宋" w:eastAsia="仿宋_GB2312" w:cs="宋体"/>
          <w:color w:val="auto"/>
          <w:sz w:val="32"/>
          <w:szCs w:val="32"/>
          <w:highlight w:val="none"/>
          <w:u w:val="none" w:color="auto"/>
        </w:rPr>
        <w:t>财政厅负责</w:t>
      </w:r>
      <w:r>
        <w:rPr>
          <w:rFonts w:hint="eastAsia" w:ascii="仿宋_GB2312" w:hAnsi="仿宋" w:eastAsia="仿宋_GB2312" w:cs="宋体"/>
          <w:color w:val="auto"/>
          <w:sz w:val="32"/>
          <w:szCs w:val="32"/>
          <w:highlight w:val="none"/>
          <w:u w:val="none" w:color="auto"/>
          <w:lang w:eastAsia="zh-CN"/>
        </w:rPr>
        <w:t>审核资金分配建议方案并下达预算，</w:t>
      </w:r>
      <w:r>
        <w:rPr>
          <w:rFonts w:hint="eastAsia" w:ascii="仿宋_GB2312" w:hAnsi="仿宋" w:eastAsia="仿宋_GB2312" w:cs="宋体"/>
          <w:color w:val="auto"/>
          <w:sz w:val="32"/>
          <w:szCs w:val="32"/>
          <w:highlight w:val="none"/>
          <w:u w:val="none" w:color="auto"/>
        </w:rPr>
        <w:t>组织开展预算绩效管理，</w:t>
      </w:r>
      <w:r>
        <w:rPr>
          <w:rFonts w:hint="eastAsia" w:ascii="仿宋_GB2312" w:hAnsi="仿宋" w:eastAsia="仿宋_GB2312" w:cs="宋体"/>
          <w:color w:val="auto"/>
          <w:sz w:val="32"/>
          <w:szCs w:val="32"/>
          <w:highlight w:val="none"/>
          <w:u w:val="none" w:color="auto"/>
          <w:lang w:eastAsia="zh-CN"/>
        </w:rPr>
        <w:t>监督专项资金支出活动，</w:t>
      </w:r>
      <w:r>
        <w:rPr>
          <w:rFonts w:hint="eastAsia" w:ascii="仿宋_GB2312" w:hAnsi="仿宋" w:eastAsia="仿宋_GB2312" w:cs="宋体"/>
          <w:color w:val="auto"/>
          <w:sz w:val="32"/>
          <w:szCs w:val="32"/>
          <w:highlight w:val="none"/>
          <w:u w:val="none" w:color="auto"/>
        </w:rPr>
        <w:t>指导</w:t>
      </w:r>
      <w:r>
        <w:rPr>
          <w:rFonts w:hint="eastAsia" w:ascii="仿宋_GB2312" w:hAnsi="Calibri" w:eastAsia="仿宋_GB2312" w:cs="Times New Roman"/>
          <w:color w:val="auto"/>
          <w:sz w:val="32"/>
          <w:szCs w:val="32"/>
          <w:highlight w:val="none"/>
          <w:u w:val="none" w:color="auto"/>
        </w:rPr>
        <w:t>市、县（区）</w:t>
      </w:r>
      <w:r>
        <w:rPr>
          <w:rFonts w:hint="eastAsia" w:ascii="仿宋_GB2312" w:hAnsi="仿宋" w:eastAsia="仿宋_GB2312" w:cs="宋体"/>
          <w:color w:val="auto"/>
          <w:sz w:val="32"/>
          <w:szCs w:val="32"/>
          <w:highlight w:val="none"/>
          <w:u w:val="none" w:color="auto"/>
        </w:rPr>
        <w:t>加强资金管理等</w:t>
      </w:r>
      <w:r>
        <w:rPr>
          <w:rFonts w:hint="eastAsia" w:ascii="仿宋_GB2312" w:hAnsi="仿宋" w:eastAsia="仿宋_GB2312" w:cs="宋体"/>
          <w:color w:val="auto"/>
          <w:sz w:val="32"/>
          <w:szCs w:val="32"/>
          <w:highlight w:val="none"/>
          <w:u w:val="none" w:color="auto"/>
          <w:lang w:eastAsia="zh-CN"/>
        </w:rPr>
        <w:t>工作</w:t>
      </w:r>
      <w:r>
        <w:rPr>
          <w:rFonts w:hint="eastAsia" w:ascii="仿宋_GB2312" w:hAnsi="仿宋" w:eastAsia="仿宋_GB2312" w:cs="宋体"/>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Calibri" w:eastAsia="仿宋_GB2312" w:cs="Times New Roman"/>
          <w:color w:val="auto"/>
          <w:sz w:val="32"/>
          <w:szCs w:val="32"/>
          <w:highlight w:val="none"/>
          <w:u w:val="none"/>
        </w:rPr>
      </w:pPr>
      <w:r>
        <w:rPr>
          <w:rFonts w:hint="eastAsia" w:ascii="仿宋_GB2312" w:hAnsi="Calibri" w:eastAsia="仿宋_GB2312" w:cs="Times New Roman"/>
          <w:color w:val="auto"/>
          <w:sz w:val="32"/>
          <w:szCs w:val="32"/>
          <w:highlight w:val="none"/>
          <w:u w:val="none" w:color="auto"/>
        </w:rPr>
        <w:t>省林业局负责编制相关规划，提出资金</w:t>
      </w:r>
      <w:r>
        <w:rPr>
          <w:rFonts w:hint="eastAsia" w:ascii="仿宋_GB2312" w:hAnsi="仿宋" w:eastAsia="仿宋_GB2312" w:cs="宋体"/>
          <w:color w:val="auto"/>
          <w:sz w:val="32"/>
          <w:szCs w:val="32"/>
          <w:highlight w:val="none"/>
          <w:u w:val="none" w:color="auto"/>
        </w:rPr>
        <w:t>分配建议方案，</w:t>
      </w:r>
      <w:r>
        <w:rPr>
          <w:rFonts w:hint="eastAsia" w:ascii="仿宋_GB2312" w:hAnsi="仿宋" w:eastAsia="仿宋_GB2312" w:cs="宋体"/>
          <w:color w:val="auto"/>
          <w:sz w:val="32"/>
          <w:szCs w:val="32"/>
          <w:highlight w:val="none"/>
          <w:u w:val="none" w:color="auto"/>
          <w:lang w:eastAsia="zh-CN"/>
        </w:rPr>
        <w:t>并对可能影响资金分配结果的有关数据和信息的真实性、准确性负责。按规定做好预算绩效管理，监督专项资金的使用，督促和指导</w:t>
      </w:r>
      <w:r>
        <w:rPr>
          <w:rFonts w:hint="eastAsia" w:ascii="仿宋_GB2312" w:hAnsi="Calibri" w:eastAsia="仿宋_GB2312" w:cs="Times New Roman"/>
          <w:color w:val="auto"/>
          <w:sz w:val="32"/>
          <w:szCs w:val="32"/>
          <w:highlight w:val="none"/>
          <w:u w:val="none" w:color="auto"/>
        </w:rPr>
        <w:t>市、县（区）</w:t>
      </w:r>
      <w:r>
        <w:rPr>
          <w:rFonts w:hint="eastAsia" w:ascii="仿宋_GB2312" w:hAnsi="仿宋" w:eastAsia="仿宋_GB2312" w:cs="宋体"/>
          <w:color w:val="auto"/>
          <w:sz w:val="32"/>
          <w:szCs w:val="32"/>
          <w:highlight w:val="none"/>
          <w:u w:val="none" w:color="auto"/>
          <w:lang w:eastAsia="zh-CN"/>
        </w:rPr>
        <w:t>做好项目和资金</w:t>
      </w:r>
      <w:r>
        <w:rPr>
          <w:rFonts w:hint="eastAsia" w:ascii="仿宋_GB2312" w:hAnsi="仿宋" w:eastAsia="仿宋_GB2312" w:cs="宋体"/>
          <w:color w:val="auto"/>
          <w:sz w:val="32"/>
          <w:szCs w:val="32"/>
          <w:highlight w:val="none"/>
          <w:u w:val="none" w:color="auto"/>
        </w:rPr>
        <w:t>使用管理监督工作等。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rPr>
      </w:pPr>
      <w:r>
        <w:rPr>
          <w:rFonts w:hint="eastAsia" w:ascii="仿宋_GB2312" w:hAnsi="仿宋" w:eastAsia="仿宋_GB2312"/>
          <w:b/>
          <w:color w:val="auto"/>
          <w:sz w:val="32"/>
          <w:szCs w:val="32"/>
          <w:highlight w:val="none"/>
          <w:u w:val="none" w:color="auto"/>
        </w:rPr>
        <w:t xml:space="preserve">第四条 </w:t>
      </w:r>
      <w:r>
        <w:rPr>
          <w:rFonts w:hint="eastAsia" w:ascii="仿宋_GB2312" w:eastAsia="仿宋_GB2312"/>
          <w:color w:val="auto"/>
          <w:sz w:val="32"/>
          <w:szCs w:val="32"/>
          <w:highlight w:val="none"/>
          <w:u w:val="none" w:color="auto"/>
        </w:rPr>
        <w:t xml:space="preserve"> </w:t>
      </w:r>
      <w:r>
        <w:rPr>
          <w:rFonts w:hint="eastAsia" w:ascii="仿宋_GB2312" w:hAnsi="Calibri" w:eastAsia="仿宋_GB2312" w:cs="Times New Roman"/>
          <w:color w:val="auto"/>
          <w:sz w:val="32"/>
          <w:szCs w:val="32"/>
          <w:highlight w:val="none"/>
          <w:u w:val="none" w:color="auto"/>
        </w:rPr>
        <w:t>市、县（区）财政部门</w:t>
      </w:r>
      <w:r>
        <w:rPr>
          <w:rFonts w:hint="eastAsia" w:ascii="仿宋_GB2312" w:hAnsi="Calibri" w:eastAsia="仿宋_GB2312" w:cs="Times New Roman"/>
          <w:color w:val="auto"/>
          <w:sz w:val="32"/>
          <w:szCs w:val="32"/>
          <w:highlight w:val="none"/>
          <w:u w:val="none"/>
        </w:rPr>
        <w:t>负责</w:t>
      </w:r>
      <w:r>
        <w:rPr>
          <w:rFonts w:hint="eastAsia" w:ascii="仿宋_GB2312" w:hAnsi="仿宋" w:eastAsia="仿宋_GB2312" w:cs="宋体"/>
          <w:color w:val="auto"/>
          <w:sz w:val="32"/>
          <w:szCs w:val="32"/>
          <w:highlight w:val="none"/>
          <w:u w:val="none"/>
          <w:lang w:eastAsia="zh-CN"/>
        </w:rPr>
        <w:t>审核资金分配建议方案并下达预算，</w:t>
      </w:r>
      <w:r>
        <w:rPr>
          <w:rFonts w:hint="eastAsia" w:ascii="仿宋_GB2312" w:hAnsi="Calibri" w:eastAsia="仿宋_GB2312" w:cs="Times New Roman"/>
          <w:color w:val="auto"/>
          <w:sz w:val="32"/>
          <w:szCs w:val="32"/>
          <w:highlight w:val="none"/>
          <w:u w:val="none" w:color="auto"/>
        </w:rPr>
        <w:t>组织预算执行、资金使用管理和监督以及预算绩效管理工作等。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rPr>
      </w:pPr>
      <w:r>
        <w:rPr>
          <w:rFonts w:hint="eastAsia" w:ascii="仿宋_GB2312" w:hAnsi="Calibri" w:eastAsia="仿宋_GB2312" w:cs="Times New Roman"/>
          <w:color w:val="auto"/>
          <w:sz w:val="32"/>
          <w:szCs w:val="32"/>
          <w:highlight w:val="none"/>
          <w:u w:val="none" w:color="auto"/>
        </w:rPr>
        <w:t>市、县（区）林业主管部门</w:t>
      </w:r>
      <w:r>
        <w:rPr>
          <w:rFonts w:hint="eastAsia" w:ascii="仿宋_GB2312" w:hAnsi="Calibri" w:eastAsia="仿宋_GB2312" w:cs="Times New Roman"/>
          <w:color w:val="auto"/>
          <w:sz w:val="32"/>
          <w:szCs w:val="32"/>
          <w:highlight w:val="none"/>
          <w:u w:val="none" w:color="auto"/>
          <w:lang w:eastAsia="zh-CN"/>
        </w:rPr>
        <w:t>负责提出专项资金分配建议方案，以及</w:t>
      </w:r>
      <w:r>
        <w:rPr>
          <w:rFonts w:hint="eastAsia" w:ascii="仿宋_GB2312" w:hAnsi="Calibri" w:eastAsia="仿宋_GB2312" w:cs="Times New Roman"/>
          <w:color w:val="auto"/>
          <w:sz w:val="32"/>
          <w:szCs w:val="32"/>
          <w:highlight w:val="none"/>
          <w:u w:val="none" w:color="auto"/>
        </w:rPr>
        <w:t>资金的具体使用管理和监督</w:t>
      </w:r>
      <w:r>
        <w:rPr>
          <w:rFonts w:hint="eastAsia" w:ascii="仿宋_GB2312" w:hAnsi="Calibri" w:eastAsia="仿宋_GB2312" w:cs="Times New Roman"/>
          <w:color w:val="auto"/>
          <w:sz w:val="32"/>
          <w:szCs w:val="32"/>
          <w:highlight w:val="none"/>
          <w:u w:val="none" w:color="auto"/>
          <w:lang w:eastAsia="zh-CN"/>
        </w:rPr>
        <w:t>、</w:t>
      </w:r>
      <w:r>
        <w:rPr>
          <w:rFonts w:hint="eastAsia" w:ascii="仿宋_GB2312" w:hAnsi="Calibri" w:eastAsia="仿宋_GB2312" w:cs="Times New Roman"/>
          <w:color w:val="auto"/>
          <w:sz w:val="32"/>
          <w:szCs w:val="32"/>
          <w:highlight w:val="none"/>
          <w:u w:val="none" w:color="auto"/>
        </w:rPr>
        <w:t>项目组织实施及预算绩效管理具体工作等。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lang w:eastAsia="zh-CN"/>
        </w:rPr>
      </w:pPr>
      <w:r>
        <w:rPr>
          <w:rFonts w:hint="eastAsia" w:ascii="仿宋_GB2312" w:hAnsi="Calibri" w:eastAsia="仿宋_GB2312" w:cs="Times New Roman"/>
          <w:color w:val="auto"/>
          <w:sz w:val="32"/>
          <w:szCs w:val="32"/>
          <w:highlight w:val="none"/>
          <w:u w:val="none" w:color="auto"/>
          <w:lang w:eastAsia="zh-CN"/>
        </w:rPr>
        <w:t>市、县（区）财政部门、林业主管部门应当对上报的可能影响资金分配结果的有关数据和信息的真实性、准确性负责。</w:t>
      </w:r>
    </w:p>
    <w:p>
      <w:pPr>
        <w:keepNext w:val="0"/>
        <w:keepLines w:val="0"/>
        <w:pageBreakBefore w:val="0"/>
        <w:widowControl w:val="0"/>
        <w:numPr>
          <w:ilvl w:val="0"/>
          <w:numId w:val="0"/>
        </w:numPr>
        <w:kinsoku/>
        <w:wordWrap/>
        <w:overflowPunct/>
        <w:topLinePunct w:val="0"/>
        <w:autoSpaceDE/>
        <w:autoSpaceDN/>
        <w:bidi w:val="0"/>
        <w:adjustRightInd/>
        <w:snapToGrid w:val="0"/>
        <w:spacing w:before="290" w:beforeLines="100" w:after="290" w:afterLines="100" w:line="580" w:lineRule="exact"/>
        <w:jc w:val="center"/>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黑体" w:hAnsi="黑体" w:eastAsia="黑体" w:cs="黑体"/>
          <w:b w:val="0"/>
          <w:bCs/>
          <w:color w:val="auto"/>
          <w:sz w:val="32"/>
          <w:szCs w:val="32"/>
          <w:highlight w:val="none"/>
          <w:u w:val="none" w:color="auto"/>
          <w:lang w:val="en-US" w:eastAsia="zh-CN"/>
        </w:rPr>
        <w:t xml:space="preserve">第二章 </w:t>
      </w:r>
      <w:r>
        <w:rPr>
          <w:rFonts w:hint="eastAsia" w:ascii="黑体" w:hAnsi="黑体" w:eastAsia="黑体" w:cs="黑体"/>
          <w:b w:val="0"/>
          <w:bCs/>
          <w:color w:val="auto"/>
          <w:sz w:val="32"/>
          <w:szCs w:val="32"/>
          <w:highlight w:val="none"/>
          <w:u w:val="none" w:color="auto"/>
          <w:lang w:eastAsia="zh-CN"/>
        </w:rPr>
        <w:t>资金使用范围</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22" w:firstLineChars="200"/>
        <w:jc w:val="left"/>
        <w:textAlignment w:val="auto"/>
        <w:outlineLvl w:val="9"/>
        <w:rPr>
          <w:rFonts w:hint="eastAsia" w:ascii="仿宋_GB2312" w:hAnsi="仿宋" w:eastAsia="仿宋_GB2312" w:cs="Times New Roman"/>
          <w:b w:val="0"/>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第五条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林下经济发展补助</w:t>
      </w:r>
      <w:r>
        <w:rPr>
          <w:rFonts w:hint="eastAsia" w:ascii="仿宋_GB2312" w:hAnsi="仿宋" w:eastAsia="仿宋_GB2312"/>
          <w:b w:val="0"/>
          <w:bCs/>
          <w:color w:val="auto"/>
          <w:sz w:val="32"/>
          <w:szCs w:val="32"/>
          <w:highlight w:val="none"/>
          <w:u w:val="none" w:color="auto"/>
          <w:lang w:val="en-US" w:eastAsia="zh-CN"/>
        </w:rPr>
        <w:t>指用于林下种植、林下养殖、相关产品采集加工、森林景观利用等</w:t>
      </w:r>
      <w:r>
        <w:rPr>
          <w:rFonts w:hint="eastAsia" w:ascii="仿宋_GB2312" w:hAnsi="仿宋" w:eastAsia="仿宋_GB2312" w:cs="Times New Roman"/>
          <w:b w:val="0"/>
          <w:bCs/>
          <w:color w:val="auto"/>
          <w:sz w:val="32"/>
          <w:szCs w:val="32"/>
          <w:highlight w:val="none"/>
          <w:u w:val="none" w:color="auto"/>
          <w:lang w:val="en-US" w:eastAsia="zh-CN"/>
        </w:rPr>
        <w:t>方面的补助。支持打造一批林下经济重点县，示范引导建设特色林下经济产业体系。品牌建设补助不超过30万元，种苗繁育基地补助不超过100万元。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22" w:firstLineChars="200"/>
        <w:jc w:val="left"/>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 w:eastAsia="仿宋_GB2312"/>
          <w:b/>
          <w:bCs w:val="0"/>
          <w:color w:val="auto"/>
          <w:sz w:val="32"/>
          <w:szCs w:val="32"/>
          <w:highlight w:val="none"/>
          <w:u w:val="none" w:color="auto"/>
          <w:lang w:val="en-US" w:eastAsia="zh-CN"/>
        </w:rPr>
        <w:t>第六条</w:t>
      </w:r>
      <w:r>
        <w:rPr>
          <w:rFonts w:hint="eastAsia" w:ascii="仿宋_GB2312" w:hAnsi="仿宋" w:eastAsia="仿宋_GB2312"/>
          <w:b w:val="0"/>
          <w:bCs/>
          <w:color w:val="auto"/>
          <w:sz w:val="32"/>
          <w:szCs w:val="32"/>
          <w:highlight w:val="none"/>
          <w:u w:val="none" w:color="auto"/>
          <w:lang w:val="en-US" w:eastAsia="zh-CN"/>
        </w:rPr>
        <w:t>　</w:t>
      </w:r>
      <w:r>
        <w:rPr>
          <w:rFonts w:hint="eastAsia" w:ascii="仿宋_GB2312" w:hAnsi="仿宋" w:eastAsia="仿宋_GB2312" w:cs="Times New Roman"/>
          <w:b w:val="0"/>
          <w:bCs/>
          <w:color w:val="auto"/>
          <w:sz w:val="32"/>
          <w:szCs w:val="32"/>
          <w:highlight w:val="none"/>
          <w:u w:val="none" w:color="auto"/>
          <w:lang w:val="en-US" w:eastAsia="zh-CN"/>
        </w:rPr>
        <w:t>竹产业发展补助包括竹</w:t>
      </w:r>
      <w:r>
        <w:rPr>
          <w:rFonts w:hint="eastAsia" w:ascii="仿宋_GB2312" w:hAnsi="仿宋_GB2312" w:eastAsia="仿宋_GB2312" w:cs="仿宋_GB2312"/>
          <w:color w:val="auto"/>
          <w:sz w:val="32"/>
          <w:szCs w:val="32"/>
          <w:highlight w:val="none"/>
          <w:u w:val="none" w:color="auto"/>
          <w:lang w:val="en-US" w:eastAsia="zh-CN"/>
        </w:rPr>
        <w:t>产业一二三产融合发展重点县、笋竹精深加工重点县、现代竹业重点县补助。</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22" w:firstLineChars="200"/>
        <w:textAlignment w:val="auto"/>
        <w:outlineLvl w:val="9"/>
        <w:rPr>
          <w:rFonts w:hint="eastAsia" w:ascii="仿宋_GB2312" w:hAnsi="仿宋_GB2312" w:eastAsia="仿宋_GB2312" w:cs="仿宋_GB2312"/>
          <w:color w:val="auto"/>
          <w:spacing w:val="-6"/>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竹产业一二三产融合发展重点县补助指用于支持竹产业原材料基地、精深加工、公共服务平台及专业园区建设和开拓市场等方面的补助。每年补助重点县不超过10个，每个重点县每年</w:t>
      </w:r>
      <w:r>
        <w:rPr>
          <w:rFonts w:hint="eastAsia" w:ascii="仿宋_GB2312" w:hAnsi="仿宋_GB2312" w:eastAsia="仿宋_GB2312" w:cs="仿宋_GB2312"/>
          <w:color w:val="auto"/>
          <w:spacing w:val="-6"/>
          <w:sz w:val="32"/>
          <w:szCs w:val="32"/>
          <w:highlight w:val="none"/>
          <w:u w:val="none" w:color="auto"/>
          <w:lang w:val="en-US" w:eastAsia="zh-CN"/>
        </w:rPr>
        <w:t>补助资金不超过1000万元。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firstLine="622"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笋竹精深加工重点县补助指用于支持笋竹精深加工的新技术、新产品、新设备研发，开展竹林认证、品牌创建和引进新设备等方面的补助。每年确定重点县不超过15个，每个重点县补助资金不超过500万元。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firstLine="622" w:firstLineChars="200"/>
        <w:textAlignment w:val="auto"/>
        <w:outlineLvl w:val="9"/>
        <w:rPr>
          <w:rFonts w:hint="eastAsia" w:ascii="仿宋_GB2312" w:hAnsi="仿宋" w:eastAsia="仿宋_GB2312" w:cs="仿宋"/>
          <w:color w:val="auto"/>
          <w:sz w:val="32"/>
          <w:szCs w:val="32"/>
          <w:highlight w:val="none"/>
          <w:u w:val="none" w:color="auto"/>
          <w:lang w:val="en-US" w:eastAsia="zh-CN"/>
        </w:rPr>
      </w:pPr>
      <w:r>
        <w:rPr>
          <w:rFonts w:hint="eastAsia" w:ascii="仿宋_GB2312" w:hAnsi="仿宋" w:eastAsia="仿宋_GB2312" w:cs="仿宋"/>
          <w:color w:val="auto"/>
          <w:sz w:val="32"/>
          <w:szCs w:val="32"/>
          <w:highlight w:val="none"/>
          <w:u w:val="none" w:color="auto"/>
          <w:lang w:val="en-US" w:eastAsia="zh-CN"/>
        </w:rPr>
        <w:t>现代竹业重点县补助指用于支持开展竹山机耕道建设、竹林培育相关设施设备、笋竹培育新技术推广、笋竹采运新工艺及丰产竹林示范片经营措施等方面的补助。</w:t>
      </w:r>
      <w:r>
        <w:rPr>
          <w:rFonts w:hint="eastAsia" w:ascii="仿宋_GB2312" w:hAnsi="仿宋_GB2312" w:eastAsia="仿宋_GB2312" w:cs="仿宋_GB2312"/>
          <w:color w:val="auto"/>
          <w:sz w:val="32"/>
          <w:szCs w:val="32"/>
          <w:highlight w:val="none"/>
          <w:u w:val="none" w:color="auto"/>
          <w:lang w:val="en-US" w:eastAsia="zh-CN"/>
        </w:rPr>
        <w:t>每年补助重点县不超过15个，每个重点县每年补助资金不超过500万元。</w:t>
      </w:r>
    </w:p>
    <w:p>
      <w:pPr>
        <w:keepNext w:val="0"/>
        <w:keepLines w:val="0"/>
        <w:pageBreakBefore w:val="0"/>
        <w:numPr>
          <w:ilvl w:val="0"/>
          <w:numId w:val="0"/>
        </w:numPr>
        <w:kinsoku/>
        <w:wordWrap/>
        <w:overflowPunct/>
        <w:topLinePunct w:val="0"/>
        <w:autoSpaceDE/>
        <w:autoSpaceDN/>
        <w:bidi w:val="0"/>
        <w:adjustRightInd/>
        <w:spacing w:line="580" w:lineRule="exact"/>
        <w:ind w:firstLine="622" w:firstLineChars="200"/>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同一年度不得</w:t>
      </w:r>
      <w:r>
        <w:rPr>
          <w:rFonts w:hint="eastAsia" w:ascii="仿宋_GB2312" w:hAnsi="仿宋_GB2312" w:eastAsia="仿宋_GB2312" w:cs="仿宋_GB2312"/>
          <w:color w:val="auto"/>
          <w:sz w:val="32"/>
          <w:szCs w:val="32"/>
          <w:highlight w:val="none"/>
          <w:u w:val="none" w:color="auto"/>
          <w:lang w:eastAsia="zh-CN"/>
        </w:rPr>
        <w:t>同时安排</w:t>
      </w:r>
      <w:r>
        <w:rPr>
          <w:rFonts w:hint="eastAsia" w:ascii="仿宋_GB2312" w:hAnsi="仿宋_GB2312" w:eastAsia="仿宋_GB2312" w:cs="仿宋_GB2312"/>
          <w:color w:val="auto"/>
          <w:sz w:val="32"/>
          <w:szCs w:val="32"/>
          <w:highlight w:val="none"/>
          <w:u w:val="none" w:color="auto"/>
          <w:lang w:val="en-US" w:eastAsia="zh-CN"/>
        </w:rPr>
        <w:t>竹产业一二三产融合发展重点县、笋竹精深加工重点县、</w:t>
      </w:r>
      <w:r>
        <w:rPr>
          <w:rFonts w:hint="eastAsia" w:ascii="仿宋_GB2312" w:hAnsi="仿宋_GB2312" w:eastAsia="仿宋_GB2312" w:cs="仿宋_GB2312"/>
          <w:color w:val="auto"/>
          <w:sz w:val="32"/>
          <w:szCs w:val="32"/>
          <w:highlight w:val="none"/>
          <w:u w:val="none" w:color="auto"/>
        </w:rPr>
        <w:t>现代竹业重点县</w:t>
      </w:r>
      <w:r>
        <w:rPr>
          <w:rFonts w:hint="eastAsia" w:ascii="仿宋_GB2312" w:hAnsi="仿宋_GB2312" w:eastAsia="仿宋_GB2312" w:cs="仿宋_GB2312"/>
          <w:color w:val="auto"/>
          <w:sz w:val="32"/>
          <w:szCs w:val="32"/>
          <w:highlight w:val="none"/>
          <w:u w:val="none" w:color="auto"/>
          <w:lang w:eastAsia="zh-CN"/>
        </w:rPr>
        <w:t>补助</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食用林产品（鲜笋）安全相关工作考核不合格的县不给予竹产业一二三融合发展重点县和现代竹业重点县补助。依法依规被列入严重失信主体名单的经营主体不予补助。</w:t>
      </w:r>
    </w:p>
    <w:p>
      <w:pPr>
        <w:keepNext w:val="0"/>
        <w:keepLines w:val="0"/>
        <w:pageBreakBefore w:val="0"/>
        <w:numPr>
          <w:ilvl w:val="0"/>
          <w:numId w:val="0"/>
        </w:numPr>
        <w:kinsoku/>
        <w:wordWrap/>
        <w:overflowPunct/>
        <w:topLinePunct w:val="0"/>
        <w:autoSpaceDE/>
        <w:autoSpaceDN/>
        <w:bidi w:val="0"/>
        <w:adjustRightInd/>
        <w:spacing w:line="580" w:lineRule="exact"/>
        <w:ind w:firstLine="622" w:firstLineChars="200"/>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林下经济重点县、竹产业一二三产融合发展重点县、笋竹精深加工重点县、现代竹业重点县实行三年一认定，认定条件由省林业局组织认定发布。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 w:eastAsia="仿宋_GB2312"/>
          <w:b/>
          <w:color w:val="auto"/>
          <w:sz w:val="32"/>
          <w:szCs w:val="32"/>
          <w:highlight w:val="none"/>
          <w:u w:val="none" w:color="auto"/>
        </w:rPr>
        <w:t>第</w:t>
      </w:r>
      <w:r>
        <w:rPr>
          <w:rFonts w:hint="eastAsia" w:ascii="仿宋_GB2312" w:hAnsi="仿宋" w:eastAsia="仿宋_GB2312"/>
          <w:b/>
          <w:color w:val="auto"/>
          <w:sz w:val="32"/>
          <w:szCs w:val="32"/>
          <w:highlight w:val="none"/>
          <w:u w:val="none" w:color="auto"/>
          <w:lang w:eastAsia="zh-CN"/>
        </w:rPr>
        <w:t>七</w:t>
      </w:r>
      <w:r>
        <w:rPr>
          <w:rFonts w:hint="eastAsia" w:ascii="仿宋_GB2312" w:hAnsi="仿宋" w:eastAsia="仿宋_GB2312"/>
          <w:b/>
          <w:color w:val="auto"/>
          <w:sz w:val="32"/>
          <w:szCs w:val="32"/>
          <w:highlight w:val="none"/>
          <w:u w:val="none" w:color="auto"/>
        </w:rPr>
        <w:t>条</w:t>
      </w:r>
      <w:r>
        <w:rPr>
          <w:rFonts w:hint="eastAsia" w:ascii="仿宋_GB2312" w:hAnsi="仿宋" w:eastAsia="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val="en-US" w:eastAsia="zh-CN"/>
        </w:rPr>
        <w:t>花卉产业发展补助指用于发展花卉</w:t>
      </w:r>
      <w:r>
        <w:rPr>
          <w:rFonts w:hint="eastAsia" w:ascii="仿宋_GB2312" w:hAnsi="仿宋_GB2312" w:eastAsia="仿宋_GB2312" w:cs="仿宋_GB2312"/>
          <w:color w:val="auto"/>
          <w:sz w:val="32"/>
          <w:szCs w:val="32"/>
          <w:highlight w:val="none"/>
          <w:u w:val="none" w:color="auto"/>
          <w:lang w:val="en-US" w:eastAsia="zh"/>
        </w:rPr>
        <w:t>生产和</w:t>
      </w:r>
      <w:r>
        <w:rPr>
          <w:rFonts w:hint="default" w:ascii="仿宋_GB2312" w:hAnsi="仿宋_GB2312" w:eastAsia="仿宋_GB2312" w:cs="仿宋_GB2312"/>
          <w:color w:val="auto"/>
          <w:sz w:val="32"/>
          <w:szCs w:val="32"/>
          <w:highlight w:val="none"/>
          <w:u w:val="none" w:color="auto"/>
          <w:lang w:val="en-US" w:eastAsia="zh-CN"/>
        </w:rPr>
        <w:t>储存</w:t>
      </w:r>
      <w:r>
        <w:rPr>
          <w:rFonts w:hint="eastAsia" w:ascii="仿宋_GB2312" w:hAnsi="仿宋_GB2312" w:eastAsia="仿宋_GB2312" w:cs="仿宋_GB2312"/>
          <w:color w:val="auto"/>
          <w:sz w:val="32"/>
          <w:szCs w:val="32"/>
          <w:highlight w:val="none"/>
          <w:u w:val="none" w:color="auto"/>
          <w:lang w:val="en-US" w:eastAsia="zh-CN"/>
        </w:rPr>
        <w:t>保鲜设施、激励品种创新、承担省政府</w:t>
      </w:r>
      <w:r>
        <w:rPr>
          <w:rFonts w:hint="eastAsia" w:ascii="仿宋_GB2312" w:hAnsi="仿宋_GB2312" w:eastAsia="仿宋_GB2312" w:cs="仿宋_GB2312"/>
          <w:color w:val="auto"/>
          <w:sz w:val="32"/>
          <w:szCs w:val="32"/>
          <w:highlight w:val="none"/>
          <w:u w:val="none" w:color="auto"/>
          <w:lang w:val="en-US" w:eastAsia="zh"/>
        </w:rPr>
        <w:t>和省级</w:t>
      </w:r>
      <w:r>
        <w:rPr>
          <w:rFonts w:hint="eastAsia" w:ascii="仿宋_GB2312" w:hAnsi="仿宋_GB2312" w:eastAsia="仿宋_GB2312" w:cs="仿宋_GB2312"/>
          <w:color w:val="auto"/>
          <w:sz w:val="32"/>
          <w:szCs w:val="32"/>
          <w:highlight w:val="none"/>
          <w:u w:val="none" w:color="auto"/>
          <w:lang w:val="en-US" w:eastAsia="zh-CN"/>
        </w:rPr>
        <w:t>林业主管部门组织参加的花卉（园艺）展会等方面的补助。除</w:t>
      </w:r>
      <w:r>
        <w:rPr>
          <w:rFonts w:hint="eastAsia" w:ascii="仿宋_GB2312" w:hAnsi="仿宋_GB2312" w:eastAsia="仿宋_GB2312" w:cs="仿宋_GB2312"/>
          <w:color w:val="auto"/>
          <w:sz w:val="32"/>
          <w:szCs w:val="32"/>
          <w:highlight w:val="none"/>
          <w:u w:val="none" w:color="auto"/>
          <w:lang w:val="en-US" w:eastAsia="zh"/>
        </w:rPr>
        <w:t>组织参加</w:t>
      </w:r>
      <w:r>
        <w:rPr>
          <w:rFonts w:hint="eastAsia" w:ascii="仿宋_GB2312" w:hAnsi="仿宋_GB2312" w:eastAsia="仿宋_GB2312" w:cs="仿宋_GB2312"/>
          <w:color w:val="auto"/>
          <w:sz w:val="32"/>
          <w:szCs w:val="32"/>
          <w:highlight w:val="none"/>
          <w:u w:val="none" w:color="auto"/>
          <w:lang w:val="en-US" w:eastAsia="zh-CN"/>
        </w:rPr>
        <w:t>花卉（园艺）展会</w:t>
      </w:r>
      <w:r>
        <w:rPr>
          <w:rFonts w:hint="eastAsia" w:ascii="仿宋_GB2312" w:hAnsi="仿宋_GB2312" w:eastAsia="仿宋_GB2312" w:cs="仿宋_GB2312"/>
          <w:color w:val="auto"/>
          <w:sz w:val="32"/>
          <w:szCs w:val="32"/>
          <w:highlight w:val="none"/>
          <w:u w:val="none" w:color="auto"/>
          <w:lang w:val="en-US" w:eastAsia="zh"/>
        </w:rPr>
        <w:t>外，其余补助资金</w:t>
      </w:r>
      <w:r>
        <w:rPr>
          <w:rFonts w:hint="eastAsia" w:ascii="仿宋_GB2312" w:hAnsi="仿宋_GB2312" w:eastAsia="仿宋_GB2312" w:cs="仿宋_GB2312"/>
          <w:color w:val="auto"/>
          <w:sz w:val="32"/>
          <w:szCs w:val="32"/>
          <w:highlight w:val="none"/>
          <w:u w:val="none" w:color="auto"/>
          <w:lang w:val="en-US" w:eastAsia="zh-CN"/>
        </w:rPr>
        <w:t>实行“先建后补”或“以奖代补”。原则上每个申报单位每年补助资金总额不超过250万元</w:t>
      </w:r>
      <w:r>
        <w:rPr>
          <w:rFonts w:hint="eastAsia" w:ascii="仿宋_GB2312" w:hAnsi="仿宋_GB2312" w:eastAsia="仿宋_GB2312" w:cs="仿宋_GB2312"/>
          <w:b w:val="0"/>
          <w:bCs w:val="0"/>
          <w:color w:val="auto"/>
          <w:sz w:val="32"/>
          <w:szCs w:val="32"/>
          <w:highlight w:val="none"/>
          <w:lang w:eastAsia="zh"/>
        </w:rPr>
        <w:t>（不含</w:t>
      </w:r>
      <w:r>
        <w:rPr>
          <w:rFonts w:hint="eastAsia" w:ascii="仿宋_GB2312" w:hAnsi="仿宋_GB2312" w:eastAsia="仿宋_GB2312" w:cs="仿宋_GB2312"/>
          <w:b w:val="0"/>
          <w:bCs w:val="0"/>
          <w:color w:val="auto"/>
          <w:sz w:val="32"/>
          <w:szCs w:val="32"/>
          <w:highlight w:val="none"/>
        </w:rPr>
        <w:t>新品种奖励</w:t>
      </w:r>
      <w:r>
        <w:rPr>
          <w:rFonts w:hint="eastAsia" w:ascii="仿宋_GB2312" w:hAnsi="仿宋_GB2312" w:eastAsia="仿宋_GB2312" w:cs="仿宋_GB2312"/>
          <w:b w:val="0"/>
          <w:bCs w:val="0"/>
          <w:color w:val="auto"/>
          <w:sz w:val="32"/>
          <w:szCs w:val="32"/>
          <w:highlight w:val="none"/>
          <w:lang w:eastAsia="zh"/>
        </w:rPr>
        <w:t>资金）</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2"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发展花卉</w:t>
      </w:r>
      <w:r>
        <w:rPr>
          <w:rFonts w:hint="eastAsia" w:ascii="仿宋_GB2312" w:hAnsi="仿宋_GB2312" w:eastAsia="仿宋_GB2312" w:cs="仿宋_GB2312"/>
          <w:color w:val="auto"/>
          <w:sz w:val="32"/>
          <w:szCs w:val="32"/>
          <w:highlight w:val="none"/>
          <w:u w:val="none" w:color="auto"/>
          <w:lang w:val="en-US" w:eastAsia="zh"/>
        </w:rPr>
        <w:t>生产和</w:t>
      </w:r>
      <w:r>
        <w:rPr>
          <w:rFonts w:hint="default" w:ascii="仿宋_GB2312" w:hAnsi="仿宋_GB2312" w:eastAsia="仿宋_GB2312" w:cs="仿宋_GB2312"/>
          <w:color w:val="auto"/>
          <w:sz w:val="32"/>
          <w:szCs w:val="32"/>
          <w:highlight w:val="none"/>
          <w:u w:val="none" w:color="auto"/>
          <w:lang w:val="en-US" w:eastAsia="zh-CN"/>
        </w:rPr>
        <w:t>储存</w:t>
      </w:r>
      <w:r>
        <w:rPr>
          <w:rFonts w:hint="eastAsia" w:ascii="仿宋_GB2312" w:hAnsi="仿宋_GB2312" w:eastAsia="仿宋_GB2312" w:cs="仿宋_GB2312"/>
          <w:color w:val="auto"/>
          <w:sz w:val="32"/>
          <w:szCs w:val="32"/>
          <w:highlight w:val="none"/>
          <w:u w:val="none" w:color="auto"/>
          <w:lang w:val="en-US" w:eastAsia="zh-CN"/>
        </w:rPr>
        <w:t>保鲜设施补助包括建设花卉</w:t>
      </w:r>
      <w:r>
        <w:rPr>
          <w:rFonts w:hint="eastAsia" w:ascii="仿宋_GB2312" w:hAnsi="仿宋_GB2312" w:eastAsia="仿宋_GB2312" w:cs="仿宋_GB2312"/>
          <w:color w:val="auto"/>
          <w:sz w:val="32"/>
          <w:szCs w:val="32"/>
          <w:highlight w:val="none"/>
          <w:u w:val="none" w:color="auto"/>
          <w:lang w:val="en-US" w:eastAsia="zh"/>
        </w:rPr>
        <w:t>生产设施</w:t>
      </w:r>
      <w:r>
        <w:rPr>
          <w:rFonts w:hint="eastAsia" w:ascii="仿宋_GB2312" w:hAnsi="仿宋_GB2312" w:eastAsia="仿宋_GB2312" w:cs="仿宋_GB2312"/>
          <w:color w:val="auto"/>
          <w:sz w:val="32"/>
          <w:szCs w:val="32"/>
          <w:highlight w:val="none"/>
          <w:u w:val="none" w:color="auto"/>
          <w:lang w:val="en-US" w:eastAsia="zh-CN"/>
        </w:rPr>
        <w:t>补助</w:t>
      </w:r>
      <w:r>
        <w:rPr>
          <w:rFonts w:hint="eastAsia" w:ascii="仿宋_GB2312" w:hAnsi="仿宋_GB2312" w:eastAsia="仿宋_GB2312" w:cs="仿宋_GB2312"/>
          <w:color w:val="auto"/>
          <w:sz w:val="32"/>
          <w:szCs w:val="32"/>
          <w:highlight w:val="none"/>
          <w:u w:val="none" w:color="auto"/>
          <w:lang w:val="en-US" w:eastAsia="zh"/>
        </w:rPr>
        <w:t>、</w:t>
      </w:r>
      <w:r>
        <w:rPr>
          <w:rFonts w:hint="eastAsia" w:ascii="仿宋_GB2312" w:hAnsi="仿宋_GB2312" w:eastAsia="仿宋_GB2312" w:cs="仿宋_GB2312"/>
          <w:color w:val="auto"/>
          <w:sz w:val="32"/>
          <w:szCs w:val="32"/>
          <w:highlight w:val="none"/>
          <w:u w:val="none" w:color="auto"/>
          <w:lang w:val="en-US" w:eastAsia="zh-CN"/>
        </w:rPr>
        <w:t>建设配套提升设施</w:t>
      </w:r>
      <w:r>
        <w:rPr>
          <w:rFonts w:hint="eastAsia" w:ascii="仿宋_GB2312" w:hAnsi="仿宋_GB2312" w:eastAsia="仿宋_GB2312" w:cs="仿宋_GB2312"/>
          <w:color w:val="auto"/>
          <w:sz w:val="32"/>
          <w:szCs w:val="32"/>
          <w:highlight w:val="none"/>
          <w:u w:val="none" w:color="auto"/>
          <w:lang w:val="en-US" w:eastAsia="zh"/>
        </w:rPr>
        <w:t>及</w:t>
      </w:r>
      <w:r>
        <w:rPr>
          <w:rFonts w:hint="default" w:ascii="仿宋_GB2312" w:hAnsi="仿宋_GB2312" w:eastAsia="仿宋_GB2312" w:cs="仿宋_GB2312"/>
          <w:color w:val="auto"/>
          <w:sz w:val="32"/>
          <w:szCs w:val="32"/>
          <w:highlight w:val="none"/>
          <w:u w:val="none" w:color="auto"/>
          <w:lang w:val="en-US" w:eastAsia="zh-CN"/>
        </w:rPr>
        <w:t>储存</w:t>
      </w:r>
      <w:r>
        <w:rPr>
          <w:rFonts w:hint="eastAsia" w:ascii="仿宋_GB2312" w:hAnsi="仿宋_GB2312" w:eastAsia="仿宋_GB2312" w:cs="仿宋_GB2312"/>
          <w:color w:val="auto"/>
          <w:sz w:val="32"/>
          <w:szCs w:val="32"/>
          <w:highlight w:val="none"/>
          <w:u w:val="none" w:color="auto"/>
          <w:lang w:val="en-US" w:eastAsia="zh-CN"/>
        </w:rPr>
        <w:t>保鲜设施</w:t>
      </w:r>
      <w:r>
        <w:rPr>
          <w:rFonts w:hint="eastAsia" w:ascii="仿宋_GB2312" w:hAnsi="仿宋_GB2312" w:eastAsia="仿宋_GB2312" w:cs="仿宋_GB2312"/>
          <w:color w:val="auto"/>
          <w:sz w:val="32"/>
          <w:szCs w:val="32"/>
          <w:highlight w:val="none"/>
          <w:u w:val="none" w:color="auto"/>
          <w:lang w:val="en-US" w:eastAsia="zh"/>
        </w:rPr>
        <w:t>等方面</w:t>
      </w:r>
      <w:r>
        <w:rPr>
          <w:rFonts w:hint="eastAsia" w:ascii="仿宋_GB2312" w:hAnsi="仿宋_GB2312" w:eastAsia="仿宋_GB2312" w:cs="仿宋_GB2312"/>
          <w:color w:val="auto"/>
          <w:sz w:val="32"/>
          <w:szCs w:val="32"/>
          <w:highlight w:val="none"/>
          <w:u w:val="none" w:color="auto"/>
          <w:lang w:val="en-US" w:eastAsia="zh-CN"/>
        </w:rPr>
        <w:t>的补助。</w:t>
      </w:r>
      <w:r>
        <w:rPr>
          <w:rFonts w:hint="eastAsia" w:ascii="仿宋_GB2312" w:hAnsi="仿宋_GB2312" w:eastAsia="仿宋_GB2312" w:cs="仿宋_GB2312"/>
          <w:color w:val="auto"/>
          <w:sz w:val="32"/>
          <w:szCs w:val="32"/>
          <w:highlight w:val="none"/>
          <w:u w:val="none" w:color="auto"/>
          <w:lang w:val="en-US" w:eastAsia="zh"/>
        </w:rPr>
        <w:t>其中：</w:t>
      </w:r>
      <w:r>
        <w:rPr>
          <w:rFonts w:hint="eastAsia" w:ascii="仿宋_GB2312" w:hAnsi="仿宋_GB2312" w:eastAsia="仿宋_GB2312" w:cs="仿宋_GB2312"/>
          <w:color w:val="auto"/>
          <w:sz w:val="32"/>
          <w:szCs w:val="32"/>
          <w:highlight w:val="none"/>
          <w:u w:val="none" w:color="auto"/>
          <w:lang w:val="en-US" w:eastAsia="zh-CN"/>
        </w:rPr>
        <w:t>花卉生产设施补助指用于支持</w:t>
      </w:r>
      <w:r>
        <w:rPr>
          <w:rFonts w:hint="eastAsia" w:ascii="仿宋_GB2312" w:hAnsi="仿宋_GB2312" w:eastAsia="仿宋_GB2312" w:cs="仿宋_GB2312"/>
          <w:color w:val="auto"/>
          <w:sz w:val="32"/>
          <w:szCs w:val="32"/>
          <w:highlight w:val="none"/>
          <w:u w:val="none" w:color="auto"/>
          <w:lang w:val="en-US" w:eastAsia="zh"/>
        </w:rPr>
        <w:t>建设</w:t>
      </w:r>
      <w:r>
        <w:rPr>
          <w:rFonts w:hint="eastAsia" w:ascii="仿宋_GB2312" w:hAnsi="仿宋_GB2312" w:eastAsia="仿宋_GB2312" w:cs="仿宋_GB2312"/>
          <w:color w:val="auto"/>
          <w:sz w:val="32"/>
          <w:szCs w:val="32"/>
          <w:highlight w:val="none"/>
          <w:u w:val="none" w:color="auto"/>
          <w:lang w:val="en-US" w:eastAsia="zh-CN"/>
        </w:rPr>
        <w:t>花卉</w:t>
      </w:r>
      <w:r>
        <w:rPr>
          <w:rFonts w:hint="eastAsia" w:ascii="仿宋_GB2312" w:hAnsi="仿宋_GB2312" w:eastAsia="仿宋_GB2312" w:cs="仿宋_GB2312"/>
          <w:color w:val="auto"/>
          <w:sz w:val="32"/>
          <w:szCs w:val="32"/>
          <w:highlight w:val="none"/>
          <w:u w:val="none" w:color="auto"/>
          <w:lang w:val="en-US" w:eastAsia="zh"/>
        </w:rPr>
        <w:t>生产温室或大棚</w:t>
      </w:r>
      <w:r>
        <w:rPr>
          <w:rFonts w:hint="eastAsia" w:ascii="仿宋_GB2312" w:hAnsi="仿宋_GB2312" w:eastAsia="仿宋_GB2312" w:cs="仿宋_GB2312"/>
          <w:color w:val="auto"/>
          <w:sz w:val="32"/>
          <w:szCs w:val="32"/>
          <w:highlight w:val="none"/>
          <w:u w:val="none" w:color="auto"/>
          <w:lang w:val="en-US" w:eastAsia="zh-CN"/>
        </w:rPr>
        <w:t>的补助，补助标准为不超过温室或大棚地面以上主体工程造价的50%（以具有资质的第三方审价结果为依据），每个申报单位每年补助金额不超过200万元，且不得与贷款贴息重复补助。配套提升设施补助指用于支持建设水肥一体化设施、病虫害防治设施</w:t>
      </w:r>
      <w:r>
        <w:rPr>
          <w:rFonts w:hint="eastAsia" w:ascii="仿宋_GB2312" w:hAnsi="仿宋_GB2312" w:eastAsia="仿宋_GB2312" w:cs="仿宋_GB2312"/>
          <w:color w:val="auto"/>
          <w:sz w:val="32"/>
          <w:szCs w:val="32"/>
          <w:highlight w:val="none"/>
          <w:u w:val="none" w:color="auto"/>
          <w:lang w:val="en-US" w:eastAsia="zh"/>
        </w:rPr>
        <w:t>和</w:t>
      </w:r>
      <w:r>
        <w:rPr>
          <w:rFonts w:hint="eastAsia" w:ascii="仿宋_GB2312" w:hAnsi="仿宋_GB2312" w:eastAsia="仿宋_GB2312" w:cs="仿宋_GB2312"/>
          <w:color w:val="auto"/>
          <w:sz w:val="32"/>
          <w:szCs w:val="32"/>
          <w:highlight w:val="none"/>
          <w:u w:val="none" w:color="auto"/>
          <w:lang w:val="en-US" w:eastAsia="zh-CN"/>
        </w:rPr>
        <w:t>智能控制系统等方面的补助。水肥一体化设施</w:t>
      </w:r>
      <w:r>
        <w:rPr>
          <w:rFonts w:hint="eastAsia" w:ascii="仿宋_GB2312" w:hAnsi="仿宋_GB2312" w:eastAsia="仿宋_GB2312" w:cs="仿宋_GB2312"/>
          <w:color w:val="auto"/>
          <w:sz w:val="32"/>
          <w:szCs w:val="32"/>
          <w:highlight w:val="none"/>
          <w:u w:val="none" w:color="auto"/>
          <w:lang w:val="en-US" w:eastAsia="zh"/>
        </w:rPr>
        <w:t>、</w:t>
      </w:r>
      <w:r>
        <w:rPr>
          <w:rFonts w:hint="eastAsia" w:ascii="仿宋_GB2312" w:hAnsi="仿宋_GB2312" w:eastAsia="仿宋_GB2312" w:cs="仿宋_GB2312"/>
          <w:color w:val="auto"/>
          <w:sz w:val="32"/>
          <w:szCs w:val="32"/>
          <w:highlight w:val="none"/>
          <w:u w:val="none" w:color="auto"/>
          <w:lang w:val="en-US" w:eastAsia="zh-CN"/>
        </w:rPr>
        <w:t>病虫害防治设施补助标准</w:t>
      </w:r>
      <w:r>
        <w:rPr>
          <w:rFonts w:hint="eastAsia" w:ascii="仿宋_GB2312" w:hAnsi="仿宋_GB2312" w:eastAsia="仿宋_GB2312" w:cs="仿宋_GB2312"/>
          <w:color w:val="auto"/>
          <w:sz w:val="32"/>
          <w:szCs w:val="32"/>
          <w:highlight w:val="none"/>
          <w:u w:val="none" w:color="auto"/>
          <w:lang w:val="en-US" w:eastAsia="zh"/>
        </w:rPr>
        <w:t>均</w:t>
      </w:r>
      <w:r>
        <w:rPr>
          <w:rFonts w:hint="eastAsia" w:ascii="仿宋_GB2312" w:hAnsi="仿宋_GB2312" w:eastAsia="仿宋_GB2312" w:cs="仿宋_GB2312"/>
          <w:color w:val="auto"/>
          <w:sz w:val="32"/>
          <w:szCs w:val="32"/>
          <w:highlight w:val="none"/>
          <w:u w:val="none" w:color="auto"/>
          <w:lang w:val="en-US" w:eastAsia="zh-CN"/>
        </w:rPr>
        <w:t>为20元/㎡，每套最高补助10万元。智能控制系统每套补助10万元；储存保鲜设施补助指用于支持花卉保鲜冷库建设的补助。补助标准不超过500元/</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
        </w:rPr>
        <w:t>（</w:t>
      </w:r>
      <w:r>
        <w:rPr>
          <w:rFonts w:hint="eastAsia" w:ascii="仿宋_GB2312" w:hAnsi="仿宋_GB2312" w:eastAsia="仿宋_GB2312" w:cs="仿宋_GB2312"/>
          <w:color w:val="auto"/>
          <w:sz w:val="32"/>
          <w:szCs w:val="32"/>
          <w:highlight w:val="none"/>
          <w:u w:val="none" w:color="auto"/>
          <w:lang w:val="en-US" w:eastAsia="zh-CN"/>
        </w:rPr>
        <w:t>按内部容积计算</w:t>
      </w:r>
      <w:r>
        <w:rPr>
          <w:rFonts w:hint="eastAsia" w:ascii="仿宋_GB2312" w:hAnsi="仿宋_GB2312" w:eastAsia="仿宋_GB2312" w:cs="仿宋_GB2312"/>
          <w:color w:val="auto"/>
          <w:sz w:val="32"/>
          <w:szCs w:val="32"/>
          <w:highlight w:val="none"/>
          <w:u w:val="none" w:color="auto"/>
          <w:lang w:val="en-US" w:eastAsia="zh"/>
        </w:rPr>
        <w:t>）</w:t>
      </w:r>
      <w:r>
        <w:rPr>
          <w:rFonts w:hint="eastAsia" w:ascii="仿宋_GB2312" w:hAnsi="仿宋_GB2312" w:eastAsia="仿宋_GB2312" w:cs="仿宋_GB2312"/>
          <w:color w:val="auto"/>
          <w:sz w:val="32"/>
          <w:szCs w:val="32"/>
          <w:highlight w:val="none"/>
          <w:u w:val="none" w:color="auto"/>
          <w:lang w:val="en-US" w:eastAsia="zh-CN"/>
        </w:rPr>
        <w:t>，每个冷库补助金额不超过15万元。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2"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激励品种创新补助指用于支持花卉种质资源库（圃）建设、奖励花卉新品种等方面的补助。原则上获得省级花卉种质资源库（圃）认定命名次年</w:t>
      </w:r>
      <w:r>
        <w:rPr>
          <w:rFonts w:hint="eastAsia" w:ascii="仿宋_GB2312" w:hAnsi="仿宋_GB2312" w:eastAsia="仿宋_GB2312" w:cs="仿宋_GB2312"/>
          <w:color w:val="auto"/>
          <w:sz w:val="32"/>
          <w:szCs w:val="32"/>
          <w:highlight w:val="none"/>
          <w:u w:val="none" w:color="auto"/>
          <w:lang w:val="en-US" w:eastAsia="zh"/>
        </w:rPr>
        <w:t>每个</w:t>
      </w:r>
      <w:r>
        <w:rPr>
          <w:rFonts w:hint="eastAsia" w:ascii="仿宋_GB2312" w:hAnsi="仿宋_GB2312" w:eastAsia="仿宋_GB2312" w:cs="仿宋_GB2312"/>
          <w:color w:val="auto"/>
          <w:sz w:val="32"/>
          <w:szCs w:val="32"/>
          <w:highlight w:val="none"/>
          <w:u w:val="none" w:color="auto"/>
          <w:lang w:val="en-US" w:eastAsia="zh-CN"/>
        </w:rPr>
        <w:t>补助45万元；获得国家植物新品种权且推广种植效益显著的花卉苗木优良品种，每个奖励15万元。</w:t>
      </w:r>
    </w:p>
    <w:p>
      <w:pPr>
        <w:keepNext w:val="0"/>
        <w:keepLines w:val="0"/>
        <w:pageBreakBefore w:val="0"/>
        <w:numPr>
          <w:ilvl w:val="0"/>
          <w:numId w:val="0"/>
        </w:numPr>
        <w:kinsoku/>
        <w:wordWrap/>
        <w:overflowPunct/>
        <w:topLinePunct w:val="0"/>
        <w:autoSpaceDE/>
        <w:autoSpaceDN/>
        <w:bidi w:val="0"/>
        <w:adjustRightInd/>
        <w:spacing w:line="580" w:lineRule="exact"/>
        <w:ind w:firstLine="622" w:firstLineChars="200"/>
        <w:outlineLvl w:val="9"/>
        <w:rPr>
          <w:rFonts w:hint="eastAsia" w:ascii="仿宋_GB2312" w:hAnsi="仿宋" w:eastAsia="仿宋_GB2312" w:cs="仿宋"/>
          <w:color w:val="auto"/>
          <w:sz w:val="32"/>
          <w:szCs w:val="32"/>
          <w:highlight w:val="none"/>
          <w:u w:val="none" w:color="auto"/>
          <w:lang w:eastAsia="zh-CN"/>
        </w:rPr>
      </w:pPr>
      <w:r>
        <w:rPr>
          <w:rFonts w:hint="eastAsia" w:ascii="仿宋_GB2312" w:hAnsi="仿宋" w:eastAsia="仿宋_GB2312"/>
          <w:b/>
          <w:color w:val="auto"/>
          <w:sz w:val="32"/>
          <w:szCs w:val="32"/>
          <w:highlight w:val="none"/>
          <w:u w:val="none" w:color="auto"/>
        </w:rPr>
        <w:t>第</w:t>
      </w:r>
      <w:r>
        <w:rPr>
          <w:rFonts w:hint="eastAsia" w:ascii="仿宋_GB2312" w:hAnsi="仿宋" w:eastAsia="仿宋_GB2312"/>
          <w:b/>
          <w:color w:val="auto"/>
          <w:sz w:val="32"/>
          <w:szCs w:val="32"/>
          <w:highlight w:val="none"/>
          <w:u w:val="none" w:color="auto"/>
          <w:lang w:eastAsia="zh-CN"/>
        </w:rPr>
        <w:t>八</w:t>
      </w:r>
      <w:r>
        <w:rPr>
          <w:rFonts w:hint="eastAsia" w:ascii="仿宋_GB2312" w:hAnsi="仿宋" w:eastAsia="仿宋_GB2312"/>
          <w:b/>
          <w:color w:val="auto"/>
          <w:sz w:val="32"/>
          <w:szCs w:val="32"/>
          <w:highlight w:val="none"/>
          <w:u w:val="none" w:color="auto"/>
        </w:rPr>
        <w:t>条</w:t>
      </w:r>
      <w:r>
        <w:rPr>
          <w:rFonts w:hint="eastAsia" w:ascii="仿宋_GB2312" w:hAnsi="仿宋" w:eastAsia="仿宋_GB2312"/>
          <w:b/>
          <w:color w:val="auto"/>
          <w:sz w:val="32"/>
          <w:szCs w:val="32"/>
          <w:highlight w:val="none"/>
          <w:u w:val="none" w:color="auto"/>
          <w:lang w:eastAsia="zh-CN"/>
        </w:rPr>
        <w:t>　</w:t>
      </w:r>
      <w:r>
        <w:rPr>
          <w:rFonts w:hint="eastAsia" w:ascii="仿宋_GB2312" w:hAnsi="仿宋_GB2312" w:eastAsia="仿宋_GB2312" w:cs="仿宋_GB2312"/>
          <w:color w:val="auto"/>
          <w:sz w:val="32"/>
          <w:szCs w:val="32"/>
          <w:highlight w:val="none"/>
          <w:u w:val="none" w:color="auto"/>
          <w:lang w:val="en-US" w:eastAsia="zh-CN"/>
        </w:rPr>
        <w:t>林业科技推广补助指用于资源培育、木竹加工、花卉、林业碳汇、有害生物防控等方面的林业科学技术研究、推广示范，林业科技平台建设、</w:t>
      </w:r>
      <w:r>
        <w:rPr>
          <w:rFonts w:hint="eastAsia" w:ascii="仿宋_GB2312" w:hAnsi="仿宋" w:eastAsia="仿宋_GB2312" w:cs="仿宋"/>
          <w:bCs/>
          <w:color w:val="auto"/>
          <w:sz w:val="32"/>
          <w:szCs w:val="32"/>
          <w:highlight w:val="none"/>
          <w:u w:val="none" w:color="auto"/>
          <w:lang w:eastAsia="zh-CN"/>
        </w:rPr>
        <w:t>标准化体系建设、林产品质量安全监测（含食用林产品安全信息追溯管理平台建设运行）、科技成果转化和科技普及，以及种苗科技攻关</w:t>
      </w:r>
      <w:r>
        <w:rPr>
          <w:rFonts w:hint="eastAsia" w:ascii="仿宋_GB2312" w:hAnsi="仿宋" w:eastAsia="仿宋_GB2312" w:cs="仿宋"/>
          <w:bCs/>
          <w:color w:val="auto"/>
          <w:sz w:val="32"/>
          <w:szCs w:val="32"/>
          <w:highlight w:val="none"/>
          <w:u w:val="none" w:color="auto"/>
        </w:rPr>
        <w:t>等支出的补助</w:t>
      </w:r>
      <w:r>
        <w:rPr>
          <w:rFonts w:hint="eastAsia" w:ascii="仿宋_GB2312" w:hAnsi="仿宋" w:eastAsia="仿宋_GB2312" w:cs="仿宋"/>
          <w:color w:val="auto"/>
          <w:sz w:val="32"/>
          <w:szCs w:val="32"/>
          <w:highlight w:val="none"/>
          <w:u w:val="none" w:color="auto"/>
        </w:rPr>
        <w:t>。</w:t>
      </w:r>
    </w:p>
    <w:p>
      <w:pPr>
        <w:keepNext w:val="0"/>
        <w:keepLines w:val="0"/>
        <w:pageBreakBefore w:val="0"/>
        <w:numPr>
          <w:ilvl w:val="0"/>
          <w:numId w:val="0"/>
        </w:numPr>
        <w:kinsoku/>
        <w:wordWrap/>
        <w:overflowPunct/>
        <w:topLinePunct w:val="0"/>
        <w:autoSpaceDE/>
        <w:autoSpaceDN/>
        <w:bidi w:val="0"/>
        <w:adjustRightInd/>
        <w:spacing w:line="580" w:lineRule="exact"/>
        <w:ind w:firstLine="622" w:firstLineChars="200"/>
        <w:outlineLvl w:val="9"/>
        <w:rPr>
          <w:rFonts w:hint="eastAsia" w:ascii="仿宋_GB2312" w:hAnsi="仿宋" w:eastAsia="仿宋_GB2312" w:cs="仿宋"/>
          <w:color w:val="auto"/>
          <w:sz w:val="32"/>
          <w:szCs w:val="32"/>
          <w:highlight w:val="none"/>
          <w:u w:val="none" w:color="auto"/>
          <w:lang w:eastAsia="zh-CN"/>
        </w:rPr>
      </w:pPr>
      <w:r>
        <w:rPr>
          <w:rFonts w:hint="eastAsia" w:ascii="仿宋_GB2312" w:hAnsi="仿宋" w:eastAsia="仿宋_GB2312" w:cs="仿宋"/>
          <w:bCs/>
          <w:color w:val="auto"/>
          <w:sz w:val="32"/>
          <w:szCs w:val="32"/>
          <w:highlight w:val="none"/>
          <w:u w:val="none" w:color="auto"/>
          <w:lang w:val="en-US" w:eastAsia="zh-CN"/>
        </w:rPr>
        <w:t>林产品质量安全监测平台、林业科技平台建设补助不超过200万元。</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22" w:firstLineChars="200"/>
        <w:jc w:val="both"/>
        <w:textAlignment w:val="baseline"/>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 w:eastAsia="仿宋_GB2312" w:cs="仿宋"/>
          <w:b/>
          <w:bCs/>
          <w:color w:val="auto"/>
          <w:sz w:val="32"/>
          <w:szCs w:val="32"/>
          <w:highlight w:val="none"/>
          <w:u w:val="none" w:color="auto"/>
          <w:lang w:val="en-US" w:eastAsia="zh-CN"/>
        </w:rPr>
        <w:t>第九条</w:t>
      </w:r>
      <w:r>
        <w:rPr>
          <w:rFonts w:hint="eastAsia" w:ascii="仿宋_GB2312" w:hAnsi="仿宋" w:eastAsia="仿宋_GB2312" w:cs="仿宋"/>
          <w:color w:val="auto"/>
          <w:sz w:val="32"/>
          <w:szCs w:val="32"/>
          <w:highlight w:val="none"/>
          <w:u w:val="none" w:color="auto"/>
          <w:lang w:val="en-US" w:eastAsia="zh-CN"/>
        </w:rPr>
        <w:t xml:space="preserve">  </w:t>
      </w:r>
      <w:r>
        <w:rPr>
          <w:rFonts w:hint="eastAsia" w:ascii="仿宋_GB2312" w:hAnsi="仿宋_GB2312" w:eastAsia="仿宋_GB2312" w:cs="仿宋_GB2312"/>
          <w:b w:val="0"/>
          <w:bCs w:val="0"/>
          <w:color w:val="auto"/>
          <w:kern w:val="0"/>
          <w:sz w:val="32"/>
          <w:szCs w:val="32"/>
          <w:highlight w:val="none"/>
          <w:u w:val="none" w:color="auto"/>
          <w:lang w:val="en-US" w:eastAsia="zh-CN"/>
        </w:rPr>
        <w:t>新型林业经营主体标准化建设补助指</w:t>
      </w:r>
      <w:r>
        <w:rPr>
          <w:rFonts w:hint="eastAsia" w:ascii="仿宋_GB2312" w:hAnsi="仿宋_GB2312" w:eastAsia="仿宋_GB2312" w:cs="仿宋_GB2312"/>
          <w:b w:val="0"/>
          <w:bCs w:val="0"/>
          <w:color w:val="auto"/>
          <w:kern w:val="0"/>
          <w:sz w:val="32"/>
          <w:szCs w:val="32"/>
          <w:highlight w:val="none"/>
          <w:u w:val="none" w:color="auto"/>
          <w:lang w:eastAsia="zh-CN"/>
        </w:rPr>
        <w:t>用于</w:t>
      </w:r>
      <w:r>
        <w:rPr>
          <w:rFonts w:hint="eastAsia" w:ascii="仿宋_GB2312" w:hAnsi="仿宋_GB2312" w:eastAsia="仿宋_GB2312" w:cs="仿宋_GB2312"/>
          <w:b w:val="0"/>
          <w:bCs w:val="0"/>
          <w:color w:val="auto"/>
          <w:kern w:val="0"/>
          <w:sz w:val="32"/>
          <w:szCs w:val="32"/>
          <w:highlight w:val="none"/>
          <w:u w:val="none" w:color="auto"/>
          <w:lang w:val="en-US" w:eastAsia="zh-CN"/>
        </w:rPr>
        <w:t>扶持一批规模较大、效益较好、带动能力</w:t>
      </w:r>
      <w:r>
        <w:rPr>
          <w:rFonts w:hint="eastAsia" w:ascii="仿宋_GB2312" w:hAnsi="仿宋_GB2312" w:eastAsia="仿宋_GB2312" w:cs="仿宋_GB2312"/>
          <w:color w:val="auto"/>
          <w:sz w:val="32"/>
          <w:szCs w:val="32"/>
          <w:highlight w:val="none"/>
          <w:u w:val="none" w:color="auto"/>
          <w:lang w:val="en-US" w:eastAsia="zh-CN"/>
        </w:rPr>
        <w:t>较强的林业专业合作社、家庭林场、家庭合作林场、股份林场等新型林业经营主体生产建设、信息化建设、品牌建设、技术培训等补助，促进林业规模化、集约化、专业化经营。其中：林业专业合作社、股份林场补助对象须经营用材林（竹林）1000亩以上，或油茶500亩以上，或苗木、花卉、林下中药材等其它经营200亩以上</w:t>
      </w:r>
      <w:r>
        <w:rPr>
          <w:rFonts w:hint="eastAsia" w:ascii="仿宋_GB2312" w:hAnsi="仿宋_GB2312" w:eastAsia="仿宋_GB2312" w:cs="仿宋_GB2312"/>
          <w:color w:val="auto"/>
          <w:sz w:val="32"/>
          <w:szCs w:val="32"/>
          <w:highlight w:val="none"/>
          <w:lang w:val="en-US" w:eastAsia="zh-CN"/>
        </w:rPr>
        <w:t>，每个补助不超过30万元</w:t>
      </w:r>
      <w:r>
        <w:rPr>
          <w:rFonts w:hint="eastAsia" w:ascii="仿宋_GB2312" w:hAnsi="仿宋_GB2312" w:eastAsia="仿宋_GB2312" w:cs="仿宋_GB2312"/>
          <w:color w:val="auto"/>
          <w:sz w:val="32"/>
          <w:szCs w:val="32"/>
          <w:highlight w:val="none"/>
          <w:u w:val="none" w:color="auto"/>
          <w:lang w:val="en-US" w:eastAsia="zh-CN"/>
        </w:rPr>
        <w:t>；家庭林场、家庭合作林场补助对象须经营用材林（竹林）300亩以上，或油茶100亩以上、或苗木花卉、林下中药材50亩以上</w:t>
      </w:r>
      <w:r>
        <w:rPr>
          <w:rFonts w:hint="eastAsia" w:ascii="仿宋_GB2312" w:hAnsi="仿宋_GB2312" w:eastAsia="仿宋_GB2312" w:cs="仿宋_GB2312"/>
          <w:color w:val="auto"/>
          <w:sz w:val="32"/>
          <w:szCs w:val="32"/>
          <w:highlight w:val="none"/>
          <w:lang w:val="en-US" w:eastAsia="zh-CN"/>
        </w:rPr>
        <w:t>，每个补助不超过30万元</w:t>
      </w:r>
      <w:r>
        <w:rPr>
          <w:rFonts w:hint="eastAsia" w:ascii="仿宋_GB2312" w:hAnsi="仿宋_GB2312" w:eastAsia="仿宋_GB2312" w:cs="仿宋_GB2312"/>
          <w:color w:val="auto"/>
          <w:sz w:val="32"/>
          <w:szCs w:val="32"/>
          <w:highlight w:val="none"/>
          <w:u w:val="none" w:color="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22"/>
        <w:jc w:val="both"/>
        <w:textAlignment w:val="baseline"/>
        <w:outlineLvl w:val="9"/>
        <w:rPr>
          <w:rFonts w:hint="default"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 xml:space="preserve">第十条  </w:t>
      </w:r>
      <w:r>
        <w:rPr>
          <w:rFonts w:hint="eastAsia" w:ascii="仿宋_GB2312" w:hAnsi="仿宋_GB2312" w:eastAsia="仿宋_GB2312" w:cs="仿宋_GB2312"/>
          <w:color w:val="auto"/>
          <w:sz w:val="32"/>
          <w:szCs w:val="32"/>
          <w:highlight w:val="none"/>
          <w:u w:val="none" w:color="auto"/>
          <w:lang w:val="en-US" w:eastAsia="zh-CN"/>
        </w:rPr>
        <w:t>林业改革试点补助指用于扶持改革试点县（市、区）开展林权资产量化、林业综合服务提升、林权流转及融资平台建设、现代林业科技园区建设等的补助。</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仿宋" w:eastAsia="仿宋_GB2312" w:cs="Times New Roman"/>
          <w:color w:val="auto"/>
          <w:sz w:val="32"/>
          <w:szCs w:val="32"/>
          <w:highlight w:val="none"/>
          <w:u w:val="none" w:color="auto"/>
          <w:lang w:val="en-US" w:eastAsia="zh-CN"/>
        </w:rPr>
      </w:pPr>
      <w:r>
        <w:rPr>
          <w:rFonts w:hint="eastAsia" w:ascii="仿宋_GB2312" w:hAnsi="仿宋" w:eastAsia="仿宋_GB2312"/>
          <w:b/>
          <w:color w:val="auto"/>
          <w:sz w:val="32"/>
          <w:szCs w:val="32"/>
          <w:highlight w:val="none"/>
          <w:u w:val="none" w:color="auto"/>
        </w:rPr>
        <w:t>第十</w:t>
      </w:r>
      <w:r>
        <w:rPr>
          <w:rFonts w:hint="eastAsia" w:ascii="仿宋_GB2312" w:hAnsi="仿宋" w:eastAsia="仿宋_GB2312"/>
          <w:b/>
          <w:color w:val="auto"/>
          <w:sz w:val="32"/>
          <w:szCs w:val="32"/>
          <w:highlight w:val="none"/>
          <w:u w:val="none" w:color="auto"/>
          <w:lang w:eastAsia="zh-CN"/>
        </w:rPr>
        <w:t>一</w:t>
      </w:r>
      <w:r>
        <w:rPr>
          <w:rFonts w:hint="eastAsia" w:ascii="仿宋_GB2312" w:hAnsi="仿宋" w:eastAsia="仿宋_GB2312"/>
          <w:b/>
          <w:color w:val="auto"/>
          <w:sz w:val="32"/>
          <w:szCs w:val="32"/>
          <w:highlight w:val="none"/>
          <w:u w:val="none" w:color="auto"/>
        </w:rPr>
        <w:t>条</w:t>
      </w:r>
      <w:r>
        <w:rPr>
          <w:rFonts w:hint="eastAsia" w:ascii="仿宋_GB2312" w:hAnsi="仿宋" w:eastAsia="仿宋_GB2312"/>
          <w:b/>
          <w:color w:val="auto"/>
          <w:sz w:val="32"/>
          <w:szCs w:val="32"/>
          <w:highlight w:val="none"/>
          <w:u w:val="none" w:color="auto"/>
          <w:lang w:eastAsia="zh-CN"/>
        </w:rPr>
        <w:t>　</w:t>
      </w:r>
      <w:r>
        <w:rPr>
          <w:rFonts w:hint="eastAsia" w:ascii="仿宋_GB2312" w:hAnsi="仿宋" w:eastAsia="仿宋_GB2312" w:cs="Times New Roman"/>
          <w:color w:val="auto"/>
          <w:sz w:val="32"/>
          <w:szCs w:val="32"/>
          <w:highlight w:val="none"/>
          <w:u w:val="none" w:color="auto"/>
          <w:lang w:val="en-US" w:eastAsia="zh-CN"/>
        </w:rPr>
        <w:t>林业贷款贴息</w:t>
      </w:r>
      <w:r>
        <w:rPr>
          <w:rFonts w:hint="eastAsia" w:ascii="仿宋_GB2312" w:hAnsi="仿宋" w:eastAsia="仿宋_GB2312" w:cs="Times New Roman"/>
          <w:color w:val="auto"/>
          <w:sz w:val="32"/>
          <w:szCs w:val="32"/>
          <w:highlight w:val="none"/>
          <w:u w:val="none" w:color="auto"/>
        </w:rPr>
        <w:t>指对各类银行（含农村信用社）发放的</w:t>
      </w:r>
      <w:r>
        <w:rPr>
          <w:rFonts w:hint="eastAsia" w:ascii="仿宋_GB2312" w:hAnsi="仿宋" w:eastAsia="仿宋_GB2312" w:cs="Times New Roman"/>
          <w:color w:val="auto"/>
          <w:sz w:val="32"/>
          <w:szCs w:val="32"/>
          <w:highlight w:val="none"/>
          <w:u w:val="none" w:color="auto"/>
          <w:lang w:eastAsia="zh-CN"/>
        </w:rPr>
        <w:t>用于花卉苗木种植及设施设备购置、林下经济、森林资源培育、林产加工</w:t>
      </w:r>
      <w:r>
        <w:rPr>
          <w:rFonts w:hint="eastAsia" w:ascii="仿宋_GB2312" w:hAnsi="仿宋" w:eastAsia="仿宋_GB2312" w:cs="Times New Roman"/>
          <w:color w:val="auto"/>
          <w:sz w:val="32"/>
          <w:szCs w:val="32"/>
          <w:highlight w:val="none"/>
          <w:u w:val="none" w:color="auto"/>
        </w:rPr>
        <w:t>贷款的利息补助</w:t>
      </w:r>
      <w:r>
        <w:rPr>
          <w:rFonts w:hint="eastAsia" w:ascii="仿宋_GB2312" w:hAnsi="仿宋" w:eastAsia="仿宋_GB2312" w:cs="Times New Roman"/>
          <w:color w:val="auto"/>
          <w:sz w:val="32"/>
          <w:szCs w:val="32"/>
          <w:highlight w:val="none"/>
          <w:u w:val="none" w:color="auto"/>
          <w:lang w:eastAsia="zh-CN"/>
        </w:rPr>
        <w:t>，其中：林产加工贷款贴息额不超过年度贴息额的</w:t>
      </w:r>
      <w:r>
        <w:rPr>
          <w:rFonts w:hint="eastAsia" w:ascii="仿宋_GB2312" w:hAnsi="仿宋" w:eastAsia="仿宋_GB2312" w:cs="Times New Roman"/>
          <w:color w:val="auto"/>
          <w:sz w:val="32"/>
          <w:szCs w:val="32"/>
          <w:highlight w:val="none"/>
          <w:u w:val="none" w:color="auto"/>
          <w:lang w:val="en-US" w:eastAsia="zh-CN"/>
        </w:rPr>
        <w:t>30%</w:t>
      </w:r>
      <w:r>
        <w:rPr>
          <w:rFonts w:hint="eastAsia" w:ascii="仿宋_GB2312" w:hAnsi="仿宋" w:eastAsia="仿宋_GB2312" w:cs="Times New Roman"/>
          <w:color w:val="auto"/>
          <w:sz w:val="32"/>
          <w:szCs w:val="32"/>
          <w:highlight w:val="none"/>
          <w:u w:val="none" w:color="auto"/>
          <w:lang w:eastAsia="zh-CN"/>
        </w:rPr>
        <w:t>。花卉苗木种植及设施设备贷款单位及个人须持有林木种子生产经营许可证。</w:t>
      </w:r>
    </w:p>
    <w:p>
      <w:pPr>
        <w:keepNext w:val="0"/>
        <w:keepLines w:val="0"/>
        <w:pageBreakBefore w:val="0"/>
        <w:kinsoku/>
        <w:wordWrap/>
        <w:overflowPunct/>
        <w:topLinePunct w:val="0"/>
        <w:autoSpaceDE/>
        <w:autoSpaceDN/>
        <w:bidi w:val="0"/>
        <w:adjustRightInd/>
        <w:spacing w:line="580" w:lineRule="exact"/>
        <w:ind w:firstLine="645"/>
        <w:outlineLvl w:val="9"/>
        <w:rPr>
          <w:rFonts w:hint="eastAsia" w:ascii="仿宋_GB2312" w:hAnsi="仿宋" w:eastAsia="仿宋_GB2312"/>
          <w:color w:val="auto"/>
          <w:sz w:val="32"/>
          <w:szCs w:val="32"/>
          <w:highlight w:val="none"/>
          <w:u w:val="none" w:color="auto"/>
        </w:rPr>
      </w:pPr>
      <w:r>
        <w:rPr>
          <w:rFonts w:hint="eastAsia" w:ascii="仿宋_GB2312" w:hAnsi="仿宋" w:eastAsia="仿宋_GB2312"/>
          <w:color w:val="auto"/>
          <w:sz w:val="32"/>
          <w:szCs w:val="32"/>
          <w:highlight w:val="none"/>
          <w:u w:val="none" w:color="auto"/>
        </w:rPr>
        <w:t>林业</w:t>
      </w:r>
      <w:r>
        <w:rPr>
          <w:rFonts w:hint="eastAsia" w:ascii="仿宋_GB2312" w:hAnsi="仿宋" w:eastAsia="仿宋_GB2312" w:cs="Times New Roman"/>
          <w:color w:val="auto"/>
          <w:sz w:val="32"/>
          <w:szCs w:val="32"/>
          <w:highlight w:val="none"/>
          <w:u w:val="none" w:color="auto"/>
        </w:rPr>
        <w:t>贷款贴息采取一年一贴、据实贴息的方式，年贴息</w:t>
      </w:r>
      <w:r>
        <w:rPr>
          <w:rFonts w:hint="eastAsia" w:ascii="仿宋_GB2312" w:hAnsi="仿宋" w:eastAsia="仿宋_GB2312" w:cs="Times New Roman"/>
          <w:color w:val="auto"/>
          <w:sz w:val="32"/>
          <w:szCs w:val="32"/>
          <w:highlight w:val="none"/>
          <w:u w:val="none" w:color="auto"/>
          <w:lang w:eastAsia="zh-CN"/>
        </w:rPr>
        <w:t>率不超过</w:t>
      </w:r>
      <w:r>
        <w:rPr>
          <w:rFonts w:hint="eastAsia" w:ascii="仿宋_GB2312" w:hAnsi="仿宋" w:eastAsia="仿宋_GB2312" w:cs="Times New Roman"/>
          <w:color w:val="auto"/>
          <w:sz w:val="32"/>
          <w:szCs w:val="32"/>
          <w:highlight w:val="none"/>
          <w:u w:val="none" w:color="auto"/>
          <w:lang w:val="en-US" w:eastAsia="zh-CN"/>
        </w:rPr>
        <w:t>1</w:t>
      </w:r>
      <w:r>
        <w:rPr>
          <w:rFonts w:hint="eastAsia" w:ascii="仿宋_GB2312" w:hAnsi="仿宋" w:eastAsia="仿宋_GB2312" w:cs="Times New Roman"/>
          <w:color w:val="auto"/>
          <w:sz w:val="32"/>
          <w:szCs w:val="32"/>
          <w:highlight w:val="none"/>
          <w:u w:val="none" w:color="auto"/>
        </w:rPr>
        <w:t>%，对贴息年度（上一年度1月1日至12月31日）之内存续并正常付息的林业贷款，按实际贷款期限计算贴息(每月15日前的贷款,当月计算贴息</w:t>
      </w:r>
      <w:r>
        <w:rPr>
          <w:rFonts w:hint="eastAsia" w:ascii="仿宋_GB2312" w:hAnsi="仿宋" w:eastAsia="仿宋_GB2312"/>
          <w:color w:val="auto"/>
          <w:sz w:val="32"/>
          <w:szCs w:val="32"/>
          <w:highlight w:val="none"/>
          <w:u w:val="none" w:color="auto"/>
        </w:rPr>
        <w:t>,每月15日后的贷款,当月不计算贴息)。</w:t>
      </w:r>
    </w:p>
    <w:p>
      <w:pPr>
        <w:keepNext w:val="0"/>
        <w:keepLines w:val="0"/>
        <w:pageBreakBefore w:val="0"/>
        <w:widowControl/>
        <w:kinsoku/>
        <w:wordWrap/>
        <w:overflowPunct/>
        <w:topLinePunct w:val="0"/>
        <w:autoSpaceDE/>
        <w:autoSpaceDN/>
        <w:bidi w:val="0"/>
        <w:adjustRightInd/>
        <w:snapToGrid w:val="0"/>
        <w:spacing w:line="580" w:lineRule="exact"/>
        <w:ind w:right="32" w:rightChars="16" w:firstLine="640"/>
        <w:outlineLvl w:val="9"/>
        <w:rPr>
          <w:rFonts w:hint="eastAsia" w:ascii="仿宋_GB2312" w:hAnsi="仿宋" w:eastAsia="仿宋_GB2312" w:cs="仿宋"/>
          <w:color w:val="auto"/>
          <w:sz w:val="32"/>
          <w:szCs w:val="32"/>
          <w:highlight w:val="none"/>
          <w:u w:val="none" w:color="auto"/>
        </w:rPr>
      </w:pPr>
      <w:r>
        <w:rPr>
          <w:rFonts w:hint="eastAsia" w:ascii="仿宋_GB2312" w:hAnsi="仿宋" w:eastAsia="仿宋_GB2312" w:cs="仿宋"/>
          <w:color w:val="auto"/>
          <w:sz w:val="32"/>
          <w:szCs w:val="32"/>
          <w:highlight w:val="none"/>
          <w:u w:val="none" w:color="auto"/>
        </w:rPr>
        <w:t>设区市林业局、财政局负责审核申报贴息补助的贷款及其项目实施情况，确定贴息补助具体项目，于每年</w:t>
      </w:r>
      <w:r>
        <w:rPr>
          <w:rFonts w:hint="eastAsia" w:ascii="仿宋_GB2312" w:hAnsi="仿宋" w:eastAsia="仿宋_GB2312" w:cs="仿宋"/>
          <w:color w:val="auto"/>
          <w:sz w:val="32"/>
          <w:szCs w:val="32"/>
          <w:highlight w:val="none"/>
          <w:u w:val="none" w:color="auto"/>
          <w:lang w:val="en-US" w:eastAsia="zh-CN"/>
        </w:rPr>
        <w:t>1</w:t>
      </w:r>
      <w:r>
        <w:rPr>
          <w:rFonts w:hint="eastAsia" w:ascii="仿宋_GB2312" w:hAnsi="仿宋" w:eastAsia="仿宋_GB2312" w:cs="仿宋"/>
          <w:color w:val="auto"/>
          <w:sz w:val="32"/>
          <w:szCs w:val="32"/>
          <w:highlight w:val="none"/>
          <w:u w:val="none" w:color="auto"/>
        </w:rPr>
        <w:t>月</w:t>
      </w:r>
      <w:r>
        <w:rPr>
          <w:rFonts w:hint="eastAsia" w:ascii="仿宋_GB2312" w:hAnsi="仿宋" w:eastAsia="仿宋_GB2312" w:cs="仿宋"/>
          <w:color w:val="auto"/>
          <w:sz w:val="32"/>
          <w:szCs w:val="32"/>
          <w:highlight w:val="none"/>
          <w:u w:val="none" w:color="auto"/>
          <w:lang w:val="en-US" w:eastAsia="zh-CN"/>
        </w:rPr>
        <w:t>30</w:t>
      </w:r>
      <w:r>
        <w:rPr>
          <w:rFonts w:hint="eastAsia" w:ascii="仿宋_GB2312" w:hAnsi="仿宋" w:eastAsia="仿宋_GB2312" w:cs="仿宋"/>
          <w:color w:val="auto"/>
          <w:sz w:val="32"/>
          <w:szCs w:val="32"/>
          <w:highlight w:val="none"/>
          <w:u w:val="none" w:color="auto"/>
        </w:rPr>
        <w:t>日前向省财政厅、林业</w:t>
      </w:r>
      <w:r>
        <w:rPr>
          <w:rFonts w:hint="eastAsia" w:ascii="仿宋_GB2312" w:hAnsi="仿宋" w:eastAsia="仿宋_GB2312" w:cs="仿宋"/>
          <w:color w:val="auto"/>
          <w:sz w:val="32"/>
          <w:szCs w:val="32"/>
          <w:highlight w:val="none"/>
          <w:u w:val="none" w:color="auto"/>
          <w:lang w:eastAsia="zh-CN"/>
        </w:rPr>
        <w:t>局</w:t>
      </w:r>
      <w:r>
        <w:rPr>
          <w:rFonts w:hint="eastAsia" w:ascii="仿宋_GB2312" w:hAnsi="仿宋" w:eastAsia="仿宋_GB2312" w:cs="仿宋"/>
          <w:color w:val="auto"/>
          <w:sz w:val="32"/>
          <w:szCs w:val="32"/>
          <w:highlight w:val="none"/>
          <w:u w:val="none" w:color="auto"/>
        </w:rPr>
        <w:t>报送当年度林业贷款贴息补助申请，省财政厅会同省林业</w:t>
      </w:r>
      <w:r>
        <w:rPr>
          <w:rFonts w:hint="eastAsia" w:ascii="仿宋_GB2312" w:hAnsi="仿宋" w:eastAsia="仿宋_GB2312" w:cs="仿宋"/>
          <w:color w:val="auto"/>
          <w:sz w:val="32"/>
          <w:szCs w:val="32"/>
          <w:highlight w:val="none"/>
          <w:u w:val="none" w:color="auto"/>
          <w:lang w:eastAsia="zh-CN"/>
        </w:rPr>
        <w:t>局</w:t>
      </w:r>
      <w:r>
        <w:rPr>
          <w:rFonts w:hint="eastAsia" w:ascii="仿宋_GB2312" w:hAnsi="仿宋" w:eastAsia="仿宋_GB2312" w:cs="仿宋"/>
          <w:color w:val="auto"/>
          <w:sz w:val="32"/>
          <w:szCs w:val="32"/>
          <w:highlight w:val="none"/>
          <w:u w:val="none" w:color="auto"/>
        </w:rPr>
        <w:t>在预算规模内根据设区市贴息资金申报额进行分配并切块下达。</w:t>
      </w:r>
    </w:p>
    <w:p>
      <w:pPr>
        <w:keepNext w:val="0"/>
        <w:keepLines w:val="0"/>
        <w:pageBreakBefore w:val="0"/>
        <w:widowControl/>
        <w:kinsoku/>
        <w:wordWrap/>
        <w:overflowPunct/>
        <w:topLinePunct w:val="0"/>
        <w:autoSpaceDE/>
        <w:autoSpaceDN/>
        <w:bidi w:val="0"/>
        <w:adjustRightInd/>
        <w:snapToGrid w:val="0"/>
        <w:spacing w:line="580" w:lineRule="exact"/>
        <w:ind w:right="32" w:rightChars="16" w:firstLine="640"/>
        <w:outlineLvl w:val="9"/>
        <w:rPr>
          <w:rFonts w:hint="eastAsia" w:ascii="仿宋_GB2312" w:hAnsi="仿宋" w:eastAsia="仿宋_GB2312" w:cs="仿宋"/>
          <w:color w:val="auto"/>
          <w:sz w:val="32"/>
          <w:szCs w:val="32"/>
          <w:highlight w:val="none"/>
          <w:u w:val="none" w:color="auto"/>
        </w:rPr>
      </w:pPr>
      <w:r>
        <w:rPr>
          <w:rFonts w:hint="eastAsia" w:ascii="仿宋_GB2312" w:hAnsi="仿宋" w:eastAsia="仿宋_GB2312" w:cs="仿宋"/>
          <w:color w:val="auto"/>
          <w:sz w:val="32"/>
          <w:szCs w:val="32"/>
          <w:highlight w:val="none"/>
          <w:u w:val="none" w:color="auto"/>
        </w:rPr>
        <w:t>各地须将银行征信查询纳入审核环节，落实林业贷款贴息</w:t>
      </w:r>
      <w:r>
        <w:rPr>
          <w:rFonts w:hint="eastAsia" w:ascii="仿宋_GB2312" w:eastAsia="仿宋_GB2312"/>
          <w:color w:val="auto"/>
          <w:sz w:val="32"/>
          <w:szCs w:val="32"/>
          <w:highlight w:val="none"/>
          <w:u w:val="none" w:color="auto"/>
        </w:rPr>
        <w:t>补助</w:t>
      </w:r>
      <w:r>
        <w:rPr>
          <w:rFonts w:hint="eastAsia" w:ascii="仿宋_GB2312" w:hAnsi="仿宋" w:eastAsia="仿宋_GB2312" w:cs="仿宋"/>
          <w:color w:val="auto"/>
          <w:sz w:val="32"/>
          <w:szCs w:val="32"/>
          <w:highlight w:val="none"/>
          <w:u w:val="none" w:color="auto"/>
        </w:rPr>
        <w:t>项目公告公示制度，</w:t>
      </w:r>
      <w:r>
        <w:rPr>
          <w:rFonts w:hint="eastAsia" w:ascii="仿宋_GB2312" w:eastAsia="仿宋_GB2312"/>
          <w:color w:val="auto"/>
          <w:sz w:val="32"/>
          <w:szCs w:val="32"/>
          <w:highlight w:val="none"/>
          <w:u w:val="none" w:color="auto"/>
        </w:rPr>
        <w:t>规范企事业单位及个人申报贴息补助应提供的材料</w:t>
      </w:r>
      <w:r>
        <w:rPr>
          <w:rFonts w:hint="eastAsia" w:ascii="仿宋_GB2312" w:eastAsia="仿宋_GB2312"/>
          <w:color w:val="auto"/>
          <w:sz w:val="32"/>
          <w:szCs w:val="32"/>
          <w:highlight w:val="none"/>
          <w:u w:val="none" w:color="auto"/>
          <w:lang w:eastAsia="zh-CN"/>
        </w:rPr>
        <w:t>并加强档案管理</w:t>
      </w:r>
      <w:r>
        <w:rPr>
          <w:rFonts w:hint="eastAsia" w:ascii="仿宋_GB2312" w:eastAsia="仿宋_GB2312"/>
          <w:color w:val="auto"/>
          <w:sz w:val="32"/>
          <w:szCs w:val="32"/>
          <w:highlight w:val="none"/>
          <w:u w:val="none" w:color="auto"/>
        </w:rPr>
        <w:t>。</w:t>
      </w:r>
    </w:p>
    <w:p>
      <w:pPr>
        <w:keepNext w:val="0"/>
        <w:keepLines w:val="0"/>
        <w:pageBreakBefore w:val="0"/>
        <w:kinsoku/>
        <w:wordWrap/>
        <w:overflowPunct/>
        <w:topLinePunct w:val="0"/>
        <w:autoSpaceDE/>
        <w:autoSpaceDN/>
        <w:bidi w:val="0"/>
        <w:adjustRightInd/>
        <w:spacing w:line="580" w:lineRule="exact"/>
        <w:ind w:firstLine="622" w:firstLineChars="200"/>
        <w:outlineLvl w:val="9"/>
        <w:rPr>
          <w:rFonts w:hint="eastAsia" w:ascii="仿宋_GB2312" w:hAnsi="仿宋" w:eastAsia="仿宋_GB2312" w:cs="仿宋"/>
          <w:color w:val="auto"/>
          <w:sz w:val="32"/>
          <w:szCs w:val="32"/>
          <w:highlight w:val="none"/>
          <w:u w:val="none" w:color="auto"/>
        </w:rPr>
      </w:pPr>
      <w:r>
        <w:rPr>
          <w:rFonts w:hint="eastAsia" w:ascii="仿宋_GB2312" w:hAnsi="仿宋" w:eastAsia="仿宋_GB2312"/>
          <w:b/>
          <w:color w:val="auto"/>
          <w:sz w:val="32"/>
          <w:szCs w:val="32"/>
          <w:highlight w:val="none"/>
          <w:u w:val="none" w:color="auto"/>
        </w:rPr>
        <w:t>第十</w:t>
      </w:r>
      <w:r>
        <w:rPr>
          <w:rFonts w:hint="eastAsia" w:ascii="仿宋_GB2312" w:hAnsi="仿宋" w:eastAsia="仿宋_GB2312"/>
          <w:b/>
          <w:color w:val="auto"/>
          <w:sz w:val="32"/>
          <w:szCs w:val="32"/>
          <w:highlight w:val="none"/>
          <w:u w:val="none" w:color="auto"/>
          <w:lang w:eastAsia="zh-CN"/>
        </w:rPr>
        <w:t>二</w:t>
      </w:r>
      <w:r>
        <w:rPr>
          <w:rFonts w:hint="eastAsia" w:ascii="仿宋_GB2312" w:hAnsi="仿宋" w:eastAsia="仿宋_GB2312"/>
          <w:b/>
          <w:color w:val="auto"/>
          <w:sz w:val="32"/>
          <w:szCs w:val="32"/>
          <w:highlight w:val="none"/>
          <w:u w:val="none" w:color="auto"/>
        </w:rPr>
        <w:t>条</w:t>
      </w:r>
      <w:r>
        <w:rPr>
          <w:rFonts w:hint="eastAsia" w:ascii="仿宋_GB2312" w:hAnsi="仿宋" w:eastAsia="仿宋_GB2312"/>
          <w:b/>
          <w:color w:val="auto"/>
          <w:sz w:val="32"/>
          <w:szCs w:val="32"/>
          <w:highlight w:val="none"/>
          <w:u w:val="none" w:color="auto"/>
          <w:lang w:eastAsia="zh-CN"/>
        </w:rPr>
        <w:t>　</w:t>
      </w:r>
      <w:r>
        <w:rPr>
          <w:rFonts w:hint="eastAsia" w:ascii="仿宋_GB2312" w:hAnsi="仿宋" w:eastAsia="仿宋_GB2312"/>
          <w:b w:val="0"/>
          <w:bCs/>
          <w:color w:val="auto"/>
          <w:sz w:val="32"/>
          <w:szCs w:val="32"/>
          <w:highlight w:val="none"/>
          <w:u w:val="none" w:color="auto"/>
          <w:lang w:eastAsia="zh-CN"/>
        </w:rPr>
        <w:t>其他林业经济发展</w:t>
      </w:r>
      <w:r>
        <w:rPr>
          <w:rFonts w:hint="eastAsia" w:ascii="仿宋_GB2312" w:hAnsi="仿宋" w:eastAsia="仿宋_GB2312"/>
          <w:color w:val="auto"/>
          <w:sz w:val="32"/>
          <w:szCs w:val="32"/>
          <w:highlight w:val="none"/>
          <w:u w:val="none" w:color="auto"/>
        </w:rPr>
        <w:t>补助是指用于</w:t>
      </w:r>
      <w:r>
        <w:rPr>
          <w:rFonts w:hint="eastAsia" w:ascii="仿宋_GB2312" w:hAnsi="仿宋" w:eastAsia="仿宋_GB2312"/>
          <w:color w:val="auto"/>
          <w:sz w:val="32"/>
          <w:szCs w:val="32"/>
          <w:highlight w:val="none"/>
          <w:u w:val="none" w:color="auto"/>
          <w:lang w:eastAsia="zh-CN"/>
        </w:rPr>
        <w:t>县域经济发展、</w:t>
      </w:r>
      <w:r>
        <w:rPr>
          <w:rFonts w:hint="eastAsia" w:ascii="仿宋_GB2312" w:hAnsi="仿宋" w:eastAsia="仿宋_GB2312"/>
          <w:color w:val="auto"/>
          <w:sz w:val="32"/>
          <w:szCs w:val="32"/>
          <w:highlight w:val="none"/>
          <w:u w:val="none" w:color="auto"/>
        </w:rPr>
        <w:t>民族乡</w:t>
      </w:r>
      <w:r>
        <w:rPr>
          <w:rFonts w:hint="eastAsia" w:ascii="仿宋_GB2312" w:hAnsi="仿宋" w:eastAsia="仿宋_GB2312"/>
          <w:color w:val="auto"/>
          <w:sz w:val="32"/>
          <w:szCs w:val="32"/>
          <w:highlight w:val="none"/>
          <w:u w:val="none" w:color="auto"/>
          <w:lang w:eastAsia="zh-CN"/>
        </w:rPr>
        <w:t>镇、村等林业改革发展</w:t>
      </w:r>
      <w:r>
        <w:rPr>
          <w:rFonts w:hint="eastAsia" w:ascii="仿宋_GB2312" w:hAnsi="仿宋" w:eastAsia="仿宋_GB2312" w:cs="仿宋"/>
          <w:color w:val="auto"/>
          <w:sz w:val="32"/>
          <w:szCs w:val="32"/>
          <w:highlight w:val="none"/>
          <w:u w:val="none" w:color="auto"/>
        </w:rPr>
        <w:t>帮扶经费补助。</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580" w:lineRule="exact"/>
        <w:jc w:val="center"/>
        <w:textAlignment w:val="auto"/>
        <w:outlineLvl w:val="9"/>
        <w:rPr>
          <w:rFonts w:hint="eastAsia" w:ascii="黑体" w:hAnsi="黑体" w:eastAsia="黑体" w:cs="黑体"/>
          <w:b w:val="0"/>
          <w:bCs/>
          <w:color w:val="auto"/>
          <w:sz w:val="32"/>
          <w:szCs w:val="32"/>
          <w:highlight w:val="none"/>
          <w:u w:val="none" w:color="auto"/>
        </w:rPr>
      </w:pPr>
      <w:r>
        <w:rPr>
          <w:rFonts w:hint="eastAsia" w:ascii="黑体" w:hAnsi="黑体" w:eastAsia="黑体" w:cs="黑体"/>
          <w:b w:val="0"/>
          <w:bCs/>
          <w:color w:val="auto"/>
          <w:sz w:val="32"/>
          <w:szCs w:val="32"/>
          <w:highlight w:val="none"/>
          <w:u w:val="none" w:color="auto"/>
        </w:rPr>
        <w:t>第</w:t>
      </w:r>
      <w:r>
        <w:rPr>
          <w:rFonts w:hint="eastAsia" w:ascii="黑体" w:hAnsi="黑体" w:eastAsia="黑体" w:cs="黑体"/>
          <w:b w:val="0"/>
          <w:bCs/>
          <w:color w:val="auto"/>
          <w:sz w:val="32"/>
          <w:szCs w:val="32"/>
          <w:highlight w:val="none"/>
          <w:u w:val="none" w:color="auto"/>
          <w:lang w:eastAsia="zh-CN"/>
        </w:rPr>
        <w:t>三</w:t>
      </w:r>
      <w:r>
        <w:rPr>
          <w:rFonts w:hint="eastAsia" w:ascii="黑体" w:hAnsi="黑体" w:eastAsia="黑体" w:cs="黑体"/>
          <w:b w:val="0"/>
          <w:bCs/>
          <w:color w:val="auto"/>
          <w:sz w:val="32"/>
          <w:szCs w:val="32"/>
          <w:highlight w:val="none"/>
          <w:u w:val="none" w:color="auto"/>
        </w:rPr>
        <w:t>章  资金分配及预算下达</w:t>
      </w:r>
    </w:p>
    <w:p>
      <w:pPr>
        <w:keepNext w:val="0"/>
        <w:keepLines w:val="0"/>
        <w:pageBreakBefore w:val="0"/>
        <w:widowControl w:val="0"/>
        <w:kinsoku/>
        <w:wordWrap/>
        <w:overflowPunct/>
        <w:topLinePunct w:val="0"/>
        <w:autoSpaceDE/>
        <w:autoSpaceDN/>
        <w:bidi w:val="0"/>
        <w:spacing w:line="580" w:lineRule="exact"/>
        <w:ind w:firstLine="640"/>
        <w:outlineLvl w:val="9"/>
        <w:rPr>
          <w:rFonts w:hint="eastAsia" w:ascii="仿宋_GB2312" w:hAnsi="仿宋" w:eastAsia="仿宋_GB2312" w:cs="宋体"/>
          <w:color w:val="auto"/>
          <w:sz w:val="32"/>
          <w:szCs w:val="32"/>
          <w:highlight w:val="none"/>
          <w:u w:val="none"/>
          <w:lang w:val="en-US" w:eastAsia="zh-CN"/>
        </w:rPr>
      </w:pPr>
      <w:r>
        <w:rPr>
          <w:rFonts w:hint="eastAsia" w:ascii="仿宋_GB2312" w:hAnsi="仿宋" w:eastAsia="仿宋_GB2312" w:cs="Times New Roman"/>
          <w:b/>
          <w:color w:val="auto"/>
          <w:sz w:val="32"/>
          <w:szCs w:val="32"/>
          <w:highlight w:val="none"/>
          <w:u w:val="none"/>
        </w:rPr>
        <w:t>第</w:t>
      </w:r>
      <w:r>
        <w:rPr>
          <w:rFonts w:hint="eastAsia" w:ascii="仿宋_GB2312" w:hAnsi="仿宋" w:eastAsia="仿宋_GB2312" w:cs="Times New Roman"/>
          <w:b/>
          <w:color w:val="auto"/>
          <w:sz w:val="32"/>
          <w:szCs w:val="32"/>
          <w:highlight w:val="none"/>
          <w:u w:val="none"/>
          <w:lang w:eastAsia="zh-CN"/>
        </w:rPr>
        <w:t>十三</w:t>
      </w:r>
      <w:r>
        <w:rPr>
          <w:rFonts w:hint="eastAsia" w:ascii="仿宋_GB2312" w:hAnsi="仿宋" w:eastAsia="仿宋_GB2312" w:cs="Times New Roman"/>
          <w:b/>
          <w:color w:val="auto"/>
          <w:sz w:val="32"/>
          <w:szCs w:val="32"/>
          <w:highlight w:val="none"/>
          <w:u w:val="none"/>
        </w:rPr>
        <w:t>条</w:t>
      </w:r>
      <w:r>
        <w:rPr>
          <w:rFonts w:hint="eastAsia" w:ascii="仿宋_GB2312" w:hAnsi="仿宋" w:eastAsia="仿宋_GB2312" w:cs="Times New Roman"/>
          <w:color w:val="auto"/>
          <w:sz w:val="32"/>
          <w:szCs w:val="32"/>
          <w:highlight w:val="none"/>
          <w:u w:val="none"/>
        </w:rPr>
        <w:t xml:space="preserve"> </w:t>
      </w:r>
      <w:r>
        <w:rPr>
          <w:rFonts w:hint="eastAsia" w:ascii="仿宋_GB2312" w:hAnsi="仿宋" w:eastAsia="仿宋_GB2312" w:cs="Times New Roman"/>
          <w:b/>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专项资金采取项目法、因素法分配</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622" w:firstLineChars="200"/>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color w:val="auto"/>
          <w:sz w:val="32"/>
          <w:szCs w:val="32"/>
          <w:highlight w:val="none"/>
          <w:u w:val="none"/>
          <w:lang w:eastAsia="zh-CN"/>
        </w:rPr>
        <w:t>竹产业一二三产融合发展重点县、林业科技推广及其他林业经济发展补助采取项目法分配。其中竹产业一二三产融合发展重点县、林业科技推广项目，由省林业局、财政厅根据本办法规定，</w:t>
      </w:r>
      <w:r>
        <w:rPr>
          <w:rFonts w:hint="eastAsia" w:ascii="仿宋_GB2312" w:hAnsi="仿宋" w:eastAsia="仿宋_GB2312" w:cs="宋体"/>
          <w:color w:val="auto"/>
          <w:sz w:val="32"/>
          <w:szCs w:val="32"/>
          <w:highlight w:val="none"/>
          <w:u w:val="none"/>
        </w:rPr>
        <w:t>结合年度工作重点及预算安排等情况，联合制定发布</w:t>
      </w:r>
      <w:r>
        <w:rPr>
          <w:rFonts w:hint="eastAsia" w:ascii="仿宋_GB2312" w:hAnsi="仿宋" w:eastAsia="仿宋_GB2312" w:cs="Times New Roman"/>
          <w:color w:val="auto"/>
          <w:sz w:val="32"/>
          <w:szCs w:val="32"/>
          <w:highlight w:val="none"/>
          <w:u w:val="none"/>
        </w:rPr>
        <w:t>相关</w:t>
      </w:r>
      <w:r>
        <w:rPr>
          <w:rFonts w:hint="eastAsia" w:ascii="仿宋_GB2312" w:hAnsi="仿宋" w:eastAsia="仿宋_GB2312" w:cs="宋体"/>
          <w:color w:val="auto"/>
          <w:sz w:val="32"/>
          <w:szCs w:val="32"/>
          <w:highlight w:val="none"/>
          <w:u w:val="none"/>
        </w:rPr>
        <w:t>《申报指南》，明确</w:t>
      </w:r>
      <w:r>
        <w:rPr>
          <w:rFonts w:hint="eastAsia" w:ascii="仿宋_GB2312" w:hAnsi="仿宋" w:eastAsia="仿宋_GB2312" w:cs="宋体"/>
          <w:color w:val="auto"/>
          <w:sz w:val="32"/>
          <w:szCs w:val="32"/>
          <w:highlight w:val="none"/>
          <w:u w:val="none"/>
          <w:lang w:eastAsia="zh-CN"/>
        </w:rPr>
        <w:t>有关具体要求，具体补助项目由省级组织专家评审并公示后确定；其他林业经济发展补助按照相关政策要求，根据市、县（区）申请和资金预算额度统筹安排</w:t>
      </w:r>
      <w:r>
        <w:rPr>
          <w:rFonts w:hint="eastAsia" w:ascii="仿宋_GB2312" w:hAnsi="仿宋" w:eastAsia="仿宋_GB2312" w:cs="宋体"/>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80" w:lineRule="exact"/>
        <w:ind w:firstLine="640"/>
        <w:outlineLvl w:val="9"/>
        <w:rPr>
          <w:rFonts w:hint="eastAsia" w:ascii="仿宋_GB2312" w:hAnsi="仿宋" w:eastAsia="仿宋_GB2312" w:cs="仿宋"/>
          <w:bCs/>
          <w:color w:val="auto"/>
          <w:sz w:val="32"/>
          <w:szCs w:val="32"/>
          <w:highlight w:val="none"/>
          <w:u w:val="none"/>
          <w:lang w:val="en-US" w:eastAsia="zh-CN"/>
        </w:rPr>
      </w:pPr>
      <w:r>
        <w:rPr>
          <w:rFonts w:hint="eastAsia" w:ascii="仿宋_GB2312" w:hAnsi="仿宋" w:eastAsia="仿宋_GB2312" w:cs="Times New Roman"/>
          <w:color w:val="auto"/>
          <w:sz w:val="32"/>
          <w:szCs w:val="32"/>
          <w:highlight w:val="none"/>
          <w:u w:val="none"/>
          <w:lang w:eastAsia="zh-CN"/>
        </w:rPr>
        <w:t>其他资金</w:t>
      </w:r>
      <w:r>
        <w:rPr>
          <w:rFonts w:hint="eastAsia" w:ascii="仿宋_GB2312" w:hAnsi="仿宋" w:eastAsia="仿宋_GB2312" w:cs="仿宋"/>
          <w:bCs/>
          <w:color w:val="auto"/>
          <w:sz w:val="32"/>
          <w:szCs w:val="32"/>
          <w:highlight w:val="none"/>
          <w:u w:val="none"/>
          <w:lang w:eastAsia="zh-CN"/>
        </w:rPr>
        <w:t>（省本级部分按照项目任务确定补助金额）</w:t>
      </w:r>
      <w:r>
        <w:rPr>
          <w:rFonts w:hint="eastAsia" w:ascii="仿宋_GB2312" w:hAnsi="仿宋" w:eastAsia="仿宋_GB2312" w:cs="Times New Roman"/>
          <w:color w:val="auto"/>
          <w:sz w:val="32"/>
          <w:szCs w:val="32"/>
          <w:highlight w:val="none"/>
          <w:u w:val="none"/>
        </w:rPr>
        <w:t>按照工作任务、</w:t>
      </w:r>
      <w:r>
        <w:rPr>
          <w:rFonts w:hint="eastAsia" w:ascii="仿宋_GB2312" w:hAnsi="仿宋" w:eastAsia="仿宋_GB2312" w:cs="Times New Roman"/>
          <w:color w:val="auto"/>
          <w:sz w:val="32"/>
          <w:szCs w:val="32"/>
          <w:highlight w:val="none"/>
          <w:u w:val="none"/>
          <w:lang w:eastAsia="zh-CN"/>
        </w:rPr>
        <w:t>绩效、</w:t>
      </w:r>
      <w:r>
        <w:rPr>
          <w:rFonts w:hint="eastAsia" w:ascii="仿宋_GB2312" w:hAnsi="仿宋" w:eastAsia="仿宋_GB2312" w:cs="Times New Roman"/>
          <w:color w:val="auto"/>
          <w:sz w:val="32"/>
          <w:szCs w:val="32"/>
          <w:highlight w:val="none"/>
          <w:u w:val="none"/>
        </w:rPr>
        <w:t>政策因素分配，</w:t>
      </w:r>
      <w:r>
        <w:rPr>
          <w:rFonts w:hint="eastAsia" w:ascii="仿宋_GB2312" w:hAnsi="仿宋" w:eastAsia="仿宋_GB2312" w:cs="Times New Roman"/>
          <w:color w:val="auto"/>
          <w:sz w:val="32"/>
          <w:szCs w:val="32"/>
          <w:highlight w:val="none"/>
          <w:u w:val="none"/>
          <w:lang w:eastAsia="zh-CN"/>
        </w:rPr>
        <w:t>权重分</w:t>
      </w:r>
      <w:r>
        <w:rPr>
          <w:rFonts w:hint="eastAsia" w:ascii="仿宋_GB2312" w:hAnsi="仿宋" w:eastAsia="仿宋_GB2312" w:cs="仿宋"/>
          <w:bCs/>
          <w:color w:val="auto"/>
          <w:sz w:val="32"/>
          <w:szCs w:val="32"/>
          <w:highlight w:val="none"/>
          <w:u w:val="none"/>
          <w:lang w:eastAsia="zh-CN"/>
        </w:rPr>
        <w:t>别为</w:t>
      </w:r>
      <w:r>
        <w:rPr>
          <w:rFonts w:hint="eastAsia" w:ascii="仿宋_GB2312" w:hAnsi="仿宋" w:eastAsia="仿宋_GB2312" w:cs="仿宋"/>
          <w:bCs/>
          <w:color w:val="auto"/>
          <w:sz w:val="32"/>
          <w:szCs w:val="32"/>
          <w:highlight w:val="none"/>
          <w:u w:val="none"/>
          <w:lang w:val="en-US" w:eastAsia="zh-CN"/>
        </w:rPr>
        <w:t>60%、30%、10%，其中绩效因素以预算执行情况和绩效评价结果为依据分配，权重分别为15%，</w:t>
      </w:r>
      <w:r>
        <w:rPr>
          <w:rFonts w:hint="eastAsia" w:ascii="仿宋_GB2312" w:hAnsi="仿宋" w:eastAsia="仿宋_GB2312" w:cs="仿宋"/>
          <w:bCs/>
          <w:color w:val="auto"/>
          <w:sz w:val="32"/>
          <w:szCs w:val="32"/>
          <w:highlight w:val="none"/>
          <w:u w:val="none"/>
          <w:lang w:eastAsia="zh-CN"/>
        </w:rPr>
        <w:t>绩效、政策因素</w:t>
      </w:r>
      <w:r>
        <w:rPr>
          <w:rFonts w:hint="eastAsia" w:ascii="仿宋_GB2312" w:hAnsi="仿宋" w:eastAsia="仿宋_GB2312" w:cs="仿宋"/>
          <w:bCs/>
          <w:color w:val="auto"/>
          <w:sz w:val="32"/>
          <w:szCs w:val="32"/>
          <w:highlight w:val="none"/>
          <w:u w:val="none"/>
          <w:lang w:val="en-US" w:eastAsia="zh-CN"/>
        </w:rPr>
        <w:t>可结合工作任务适当进行调节</w:t>
      </w:r>
      <w:r>
        <w:rPr>
          <w:rFonts w:hint="eastAsia" w:ascii="仿宋_GB2312" w:hAnsi="仿宋" w:eastAsia="仿宋_GB2312" w:cs="仿宋"/>
          <w:bCs/>
          <w:color w:val="auto"/>
          <w:sz w:val="32"/>
          <w:szCs w:val="32"/>
          <w:highlight w:val="none"/>
          <w:u w:val="none"/>
          <w:lang w:eastAsia="zh-CN"/>
        </w:rPr>
        <w:t>分配</w:t>
      </w:r>
      <w:r>
        <w:rPr>
          <w:rFonts w:hint="eastAsia" w:ascii="仿宋_GB2312" w:hAnsi="仿宋" w:eastAsia="仿宋_GB2312" w:cs="仿宋"/>
          <w:bCs/>
          <w:color w:val="auto"/>
          <w:sz w:val="32"/>
          <w:szCs w:val="32"/>
          <w:highlight w:val="none"/>
          <w:u w:val="none"/>
          <w:lang w:val="en-US" w:eastAsia="zh-CN"/>
        </w:rPr>
        <w:t>，上年</w:t>
      </w:r>
      <w:r>
        <w:rPr>
          <w:rFonts w:hint="eastAsia" w:ascii="仿宋_GB2312" w:hAnsi="仿宋" w:eastAsia="仿宋_GB2312" w:cs="Times New Roman"/>
          <w:color w:val="auto"/>
          <w:sz w:val="32"/>
          <w:szCs w:val="32"/>
          <w:highlight w:val="none"/>
          <w:u w:val="none"/>
          <w:lang w:val="en-US" w:eastAsia="zh-CN"/>
        </w:rPr>
        <w:t>度没有安排资金的市、县（区）绩效</w:t>
      </w:r>
      <w:r>
        <w:rPr>
          <w:rFonts w:hint="eastAsia" w:ascii="仿宋_GB2312" w:hAnsi="仿宋" w:eastAsia="仿宋_GB2312" w:cs="仿宋"/>
          <w:bCs/>
          <w:color w:val="auto"/>
          <w:sz w:val="32"/>
          <w:szCs w:val="32"/>
          <w:highlight w:val="none"/>
          <w:u w:val="none"/>
          <w:lang w:val="en-US" w:eastAsia="zh-CN"/>
        </w:rPr>
        <w:t>得分取平均分。林业改革试点资金由省林业局组织确定林业改革试点县（市、区），试点期内可连续补助。</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十四</w:t>
      </w:r>
      <w:r>
        <w:rPr>
          <w:rFonts w:hint="eastAsia" w:ascii="仿宋_GB2312" w:hAnsi="仿宋" w:eastAsia="仿宋_GB2312" w:cs="宋体"/>
          <w:b/>
          <w:bCs/>
          <w:color w:val="auto"/>
          <w:sz w:val="32"/>
          <w:szCs w:val="32"/>
          <w:highlight w:val="none"/>
          <w:u w:val="none"/>
        </w:rPr>
        <w:t xml:space="preserve">条  </w:t>
      </w:r>
      <w:r>
        <w:rPr>
          <w:rFonts w:hint="eastAsia" w:ascii="仿宋_GB2312" w:hAnsi="仿宋" w:eastAsia="仿宋_GB2312" w:cs="Times New Roman"/>
          <w:color w:val="auto"/>
          <w:sz w:val="32"/>
          <w:szCs w:val="32"/>
          <w:highlight w:val="none"/>
          <w:u w:val="none"/>
        </w:rPr>
        <w:t>安排到</w:t>
      </w:r>
      <w:r>
        <w:rPr>
          <w:rFonts w:hint="eastAsia" w:ascii="仿宋_GB2312" w:hAnsi="仿宋" w:eastAsia="仿宋_GB2312" w:cs="宋体"/>
          <w:color w:val="auto"/>
          <w:sz w:val="32"/>
          <w:szCs w:val="32"/>
          <w:highlight w:val="none"/>
          <w:u w:val="none"/>
          <w:lang w:eastAsia="zh-CN"/>
        </w:rPr>
        <w:t>市、县（区）</w:t>
      </w:r>
      <w:r>
        <w:rPr>
          <w:rFonts w:hint="eastAsia" w:ascii="仿宋_GB2312" w:hAnsi="仿宋" w:eastAsia="仿宋_GB2312" w:cs="Times New Roman"/>
          <w:color w:val="auto"/>
          <w:sz w:val="32"/>
          <w:szCs w:val="32"/>
          <w:highlight w:val="none"/>
          <w:u w:val="none"/>
        </w:rPr>
        <w:t>的省级财政资金，</w:t>
      </w:r>
      <w:r>
        <w:rPr>
          <w:rFonts w:hint="eastAsia" w:ascii="仿宋_GB2312" w:hAnsi="仿宋" w:eastAsia="仿宋_GB2312" w:cs="宋体"/>
          <w:color w:val="auto"/>
          <w:sz w:val="32"/>
          <w:szCs w:val="32"/>
          <w:highlight w:val="none"/>
          <w:u w:val="none"/>
        </w:rPr>
        <w:t>省财政厅、林业局</w:t>
      </w:r>
      <w:r>
        <w:rPr>
          <w:rFonts w:hint="eastAsia" w:ascii="仿宋_GB2312" w:hAnsi="仿宋" w:eastAsia="仿宋_GB2312" w:cs="Times New Roman"/>
          <w:color w:val="auto"/>
          <w:sz w:val="32"/>
          <w:szCs w:val="32"/>
          <w:highlight w:val="none"/>
          <w:u w:val="none"/>
        </w:rPr>
        <w:t>按预计数的一定比例在规定时限内提前下达到</w:t>
      </w:r>
      <w:r>
        <w:rPr>
          <w:rFonts w:hint="eastAsia" w:ascii="仿宋_GB2312" w:hAnsi="仿宋" w:eastAsia="仿宋_GB2312" w:cs="宋体"/>
          <w:color w:val="auto"/>
          <w:sz w:val="32"/>
          <w:szCs w:val="32"/>
          <w:highlight w:val="none"/>
          <w:u w:val="none"/>
          <w:lang w:eastAsia="zh-CN"/>
        </w:rPr>
        <w:t>市、县（区）</w:t>
      </w:r>
      <w:r>
        <w:rPr>
          <w:rFonts w:hint="eastAsia" w:ascii="仿宋_GB2312" w:hAnsi="仿宋" w:eastAsia="仿宋_GB2312" w:cs="Times New Roman"/>
          <w:color w:val="auto"/>
          <w:sz w:val="32"/>
          <w:szCs w:val="32"/>
          <w:highlight w:val="none"/>
          <w:u w:val="none"/>
        </w:rPr>
        <w:t>；未提前下达的部分，在省人民代表大会批准年度预算后规定时间内下达</w:t>
      </w:r>
      <w:r>
        <w:rPr>
          <w:rFonts w:hint="eastAsia" w:ascii="仿宋_GB2312" w:hAnsi="仿宋" w:eastAsia="仿宋_GB2312" w:cs="宋体"/>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 w:eastAsia="仿宋_GB2312" w:cs="Times New Roman"/>
          <w:color w:val="auto"/>
          <w:sz w:val="32"/>
          <w:szCs w:val="32"/>
          <w:highlight w:val="none"/>
          <w:u w:val="none"/>
        </w:rPr>
      </w:pPr>
      <w:r>
        <w:rPr>
          <w:rFonts w:hint="eastAsia" w:ascii="仿宋_GB2312" w:hAnsi="仿宋" w:eastAsia="仿宋_GB2312" w:cs="宋体"/>
          <w:color w:val="auto"/>
          <w:sz w:val="32"/>
          <w:szCs w:val="32"/>
          <w:highlight w:val="none"/>
          <w:u w:val="none"/>
        </w:rPr>
        <w:t>设区市应当自收到省财政厅、林业局预算文件后30日内分解下达预算，并抄送省财政厅、林业局。</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项目实施县（市、区）应当自收到预算</w:t>
      </w:r>
      <w:r>
        <w:rPr>
          <w:rFonts w:hint="eastAsia" w:ascii="仿宋_GB2312" w:hAnsi="仿宋_GB2312" w:eastAsia="仿宋_GB2312" w:cs="仿宋_GB2312"/>
          <w:color w:val="auto"/>
          <w:sz w:val="32"/>
          <w:szCs w:val="32"/>
          <w:highlight w:val="none"/>
          <w:u w:val="none"/>
          <w:lang w:eastAsia="zh-CN"/>
        </w:rPr>
        <w:t>指标</w:t>
      </w:r>
      <w:r>
        <w:rPr>
          <w:rFonts w:hint="eastAsia" w:ascii="仿宋_GB2312" w:hAnsi="仿宋_GB2312" w:eastAsia="仿宋_GB2312" w:cs="仿宋_GB2312"/>
          <w:color w:val="auto"/>
          <w:sz w:val="32"/>
          <w:szCs w:val="32"/>
          <w:highlight w:val="none"/>
          <w:u w:val="none"/>
        </w:rPr>
        <w:t>文件后</w:t>
      </w:r>
      <w:r>
        <w:rPr>
          <w:rFonts w:hint="eastAsia" w:ascii="仿宋_GB2312" w:hAnsi="仿宋_GB2312" w:eastAsia="仿宋_GB2312" w:cs="仿宋_GB2312"/>
          <w:color w:val="auto"/>
          <w:sz w:val="32"/>
          <w:szCs w:val="32"/>
          <w:highlight w:val="none"/>
          <w:u w:val="none"/>
          <w:lang w:eastAsia="zh-CN"/>
        </w:rPr>
        <w:t>及时拨付资金，在规定的时间内完成项目实施和项目验收，其中林业科技推广项目按项目任务书（合同）执行，并按省林业局林业科技推广项目有关规定组织实施和验收。</w:t>
      </w:r>
    </w:p>
    <w:p>
      <w:pPr>
        <w:keepNext w:val="0"/>
        <w:keepLines w:val="0"/>
        <w:pageBreakBefore w:val="0"/>
        <w:widowControl w:val="0"/>
        <w:numPr>
          <w:ilvl w:val="0"/>
          <w:numId w:val="0"/>
        </w:numPr>
        <w:tabs>
          <w:tab w:val="center" w:pos="4422"/>
        </w:tabs>
        <w:kinsoku/>
        <w:wordWrap/>
        <w:overflowPunct/>
        <w:topLinePunct w:val="0"/>
        <w:autoSpaceDE/>
        <w:autoSpaceDN/>
        <w:bidi w:val="0"/>
        <w:spacing w:line="580" w:lineRule="exact"/>
        <w:ind w:firstLine="622" w:firstLineChars="200"/>
        <w:textAlignment w:val="top"/>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十五</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b/>
          <w:bCs/>
          <w:color w:val="auto"/>
          <w:sz w:val="32"/>
          <w:szCs w:val="32"/>
          <w:highlight w:val="none"/>
          <w:u w:val="none"/>
          <w:lang w:val="en-US" w:eastAsia="zh-CN"/>
        </w:rPr>
        <w:t xml:space="preserve">  </w:t>
      </w:r>
      <w:r>
        <w:rPr>
          <w:rFonts w:hint="eastAsia" w:ascii="仿宋_GB2312" w:hAnsi="仿宋" w:eastAsia="仿宋_GB2312" w:cs="宋体"/>
          <w:color w:val="auto"/>
          <w:sz w:val="32"/>
          <w:szCs w:val="32"/>
          <w:highlight w:val="none"/>
          <w:u w:val="none"/>
        </w:rPr>
        <w:t>各级财政部门应当会同同级林业主管部门按照有关法律法规和政策支持涉农资金统筹整合，避免</w:t>
      </w:r>
      <w:r>
        <w:rPr>
          <w:rFonts w:hint="eastAsia" w:ascii="仿宋_GB2312" w:hAnsi="仿宋" w:eastAsia="仿宋_GB2312" w:cs="宋体"/>
          <w:color w:val="auto"/>
          <w:sz w:val="32"/>
          <w:szCs w:val="32"/>
          <w:highlight w:val="none"/>
          <w:u w:val="none"/>
          <w:lang w:eastAsia="zh-CN"/>
        </w:rPr>
        <w:t>同级资金交叉使用、</w:t>
      </w:r>
      <w:r>
        <w:rPr>
          <w:rFonts w:hint="eastAsia" w:ascii="仿宋_GB2312" w:hAnsi="仿宋" w:eastAsia="仿宋_GB2312" w:cs="宋体"/>
          <w:color w:val="auto"/>
          <w:sz w:val="32"/>
          <w:szCs w:val="32"/>
          <w:highlight w:val="none"/>
          <w:u w:val="none"/>
        </w:rPr>
        <w:t>重复支持。</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580" w:lineRule="exact"/>
        <w:jc w:val="center"/>
        <w:textAlignment w:val="auto"/>
        <w:outlineLvl w:val="9"/>
        <w:rPr>
          <w:rFonts w:hint="eastAsia" w:ascii="黑体" w:hAnsi="黑体" w:eastAsia="黑体" w:cs="黑体"/>
          <w:b w:val="0"/>
          <w:bCs/>
          <w:color w:val="auto"/>
          <w:sz w:val="32"/>
          <w:szCs w:val="32"/>
          <w:highlight w:val="none"/>
          <w:u w:val="none" w:color="auto"/>
          <w:lang w:eastAsia="zh-CN"/>
        </w:rPr>
      </w:pPr>
      <w:r>
        <w:rPr>
          <w:rFonts w:hint="eastAsia" w:ascii="黑体" w:hAnsi="黑体" w:eastAsia="黑体" w:cs="黑体"/>
          <w:b w:val="0"/>
          <w:bCs/>
          <w:color w:val="auto"/>
          <w:sz w:val="32"/>
          <w:szCs w:val="32"/>
          <w:highlight w:val="none"/>
          <w:u w:val="none" w:color="auto"/>
        </w:rPr>
        <w:t>第</w:t>
      </w:r>
      <w:r>
        <w:rPr>
          <w:rFonts w:hint="eastAsia" w:ascii="黑体" w:hAnsi="黑体" w:eastAsia="黑体" w:cs="黑体"/>
          <w:b w:val="0"/>
          <w:bCs/>
          <w:color w:val="auto"/>
          <w:sz w:val="32"/>
          <w:szCs w:val="32"/>
          <w:highlight w:val="none"/>
          <w:u w:val="none" w:color="auto"/>
          <w:lang w:eastAsia="zh-CN"/>
        </w:rPr>
        <w:t>四</w:t>
      </w:r>
      <w:r>
        <w:rPr>
          <w:rFonts w:hint="eastAsia" w:ascii="黑体" w:hAnsi="黑体" w:eastAsia="黑体" w:cs="黑体"/>
          <w:b w:val="0"/>
          <w:bCs/>
          <w:color w:val="auto"/>
          <w:sz w:val="32"/>
          <w:szCs w:val="32"/>
          <w:highlight w:val="none"/>
          <w:u w:val="none" w:color="auto"/>
        </w:rPr>
        <w:t>章</w:t>
      </w:r>
      <w:r>
        <w:rPr>
          <w:rFonts w:hint="eastAsia" w:ascii="黑体" w:hAnsi="黑体" w:eastAsia="黑体" w:cs="黑体"/>
          <w:b w:val="0"/>
          <w:bCs/>
          <w:color w:val="auto"/>
          <w:sz w:val="32"/>
          <w:szCs w:val="32"/>
          <w:highlight w:val="none"/>
          <w:u w:val="none" w:color="auto"/>
          <w:lang w:val="en-US" w:eastAsia="zh-CN"/>
        </w:rPr>
        <w:t xml:space="preserve"> </w:t>
      </w:r>
      <w:r>
        <w:rPr>
          <w:rFonts w:hint="eastAsia" w:ascii="黑体" w:hAnsi="黑体" w:eastAsia="黑体" w:cs="黑体"/>
          <w:b w:val="0"/>
          <w:bCs/>
          <w:color w:val="auto"/>
          <w:sz w:val="32"/>
          <w:szCs w:val="32"/>
          <w:highlight w:val="none"/>
          <w:u w:val="none" w:color="auto"/>
        </w:rPr>
        <w:t xml:space="preserve"> 预算</w:t>
      </w:r>
      <w:r>
        <w:rPr>
          <w:rFonts w:hint="eastAsia" w:ascii="黑体" w:hAnsi="黑体" w:eastAsia="黑体" w:cs="黑体"/>
          <w:b w:val="0"/>
          <w:bCs/>
          <w:color w:val="auto"/>
          <w:sz w:val="32"/>
          <w:szCs w:val="32"/>
          <w:highlight w:val="none"/>
          <w:u w:val="none" w:color="auto"/>
          <w:lang w:eastAsia="zh-CN"/>
        </w:rPr>
        <w:t>执行</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仿宋" w:eastAsia="仿宋_GB2312" w:cs="宋体"/>
          <w:color w:val="auto"/>
          <w:sz w:val="32"/>
          <w:szCs w:val="32"/>
          <w:highlight w:val="none"/>
          <w:u w:val="none" w:color="auto"/>
          <w:lang w:eastAsia="zh-CN"/>
        </w:rPr>
      </w:pPr>
      <w:r>
        <w:rPr>
          <w:rFonts w:hint="eastAsia" w:ascii="仿宋_GB2312" w:hAnsi="仿宋" w:eastAsia="仿宋_GB2312" w:cs="宋体"/>
          <w:b/>
          <w:bCs/>
          <w:color w:val="auto"/>
          <w:sz w:val="32"/>
          <w:szCs w:val="32"/>
          <w:highlight w:val="none"/>
          <w:u w:val="none" w:color="auto"/>
        </w:rPr>
        <w:t>第十</w:t>
      </w:r>
      <w:r>
        <w:rPr>
          <w:rFonts w:hint="eastAsia" w:ascii="仿宋_GB2312" w:hAnsi="仿宋" w:eastAsia="仿宋_GB2312" w:cs="宋体"/>
          <w:b/>
          <w:bCs/>
          <w:color w:val="auto"/>
          <w:sz w:val="32"/>
          <w:szCs w:val="32"/>
          <w:highlight w:val="none"/>
          <w:u w:val="none" w:color="auto"/>
          <w:lang w:eastAsia="zh-CN"/>
        </w:rPr>
        <w:t>六</w:t>
      </w:r>
      <w:r>
        <w:rPr>
          <w:rFonts w:hint="eastAsia" w:ascii="仿宋_GB2312" w:hAnsi="仿宋" w:eastAsia="仿宋_GB2312" w:cs="宋体"/>
          <w:b/>
          <w:bCs/>
          <w:color w:val="auto"/>
          <w:sz w:val="32"/>
          <w:szCs w:val="32"/>
          <w:highlight w:val="none"/>
          <w:u w:val="none" w:color="auto"/>
        </w:rPr>
        <w:t xml:space="preserve">条  </w:t>
      </w:r>
      <w:r>
        <w:rPr>
          <w:rFonts w:hint="eastAsia" w:ascii="仿宋_GB2312" w:hAnsi="仿宋" w:eastAsia="仿宋_GB2312" w:cs="宋体"/>
          <w:color w:val="auto"/>
          <w:sz w:val="32"/>
          <w:szCs w:val="32"/>
          <w:highlight w:val="none"/>
          <w:u w:val="none" w:color="auto"/>
        </w:rPr>
        <w:t>各级财政部门和林业主管部门应当加快预算执行，提高资金使用效益。结转结余的专项资金，按照结转结余资金管理的相关规定处理</w:t>
      </w:r>
      <w:r>
        <w:rPr>
          <w:rFonts w:hint="eastAsia" w:ascii="仿宋_GB2312" w:hAnsi="仿宋" w:eastAsia="仿宋_GB2312" w:cs="宋体"/>
          <w:color w:val="auto"/>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仿宋" w:eastAsia="仿宋_GB2312" w:cs="宋体"/>
          <w:b/>
          <w:bCs/>
          <w:color w:val="auto"/>
          <w:sz w:val="32"/>
          <w:szCs w:val="32"/>
          <w:highlight w:val="none"/>
          <w:u w:val="none" w:color="auto"/>
        </w:rPr>
      </w:pPr>
      <w:r>
        <w:rPr>
          <w:rFonts w:hint="eastAsia" w:ascii="仿宋_GB2312" w:hAnsi="仿宋" w:eastAsia="仿宋_GB2312"/>
          <w:b/>
          <w:color w:val="auto"/>
          <w:sz w:val="32"/>
          <w:szCs w:val="32"/>
          <w:highlight w:val="none"/>
          <w:u w:val="none" w:color="auto"/>
        </w:rPr>
        <w:t>第十</w:t>
      </w:r>
      <w:r>
        <w:rPr>
          <w:rFonts w:hint="eastAsia" w:ascii="仿宋_GB2312" w:hAnsi="仿宋" w:eastAsia="仿宋_GB2312"/>
          <w:b/>
          <w:color w:val="auto"/>
          <w:sz w:val="32"/>
          <w:szCs w:val="32"/>
          <w:highlight w:val="none"/>
          <w:u w:val="none" w:color="auto"/>
          <w:lang w:eastAsia="zh-CN"/>
        </w:rPr>
        <w:t>七</w:t>
      </w:r>
      <w:r>
        <w:rPr>
          <w:rFonts w:hint="eastAsia" w:ascii="仿宋_GB2312" w:hAnsi="仿宋" w:eastAsia="仿宋_GB2312"/>
          <w:b/>
          <w:color w:val="auto"/>
          <w:sz w:val="32"/>
          <w:szCs w:val="32"/>
          <w:highlight w:val="none"/>
          <w:u w:val="none" w:color="auto"/>
        </w:rPr>
        <w:t>条</w:t>
      </w:r>
      <w:r>
        <w:rPr>
          <w:rFonts w:hint="eastAsia" w:ascii="仿宋_GB2312" w:hAnsi="仿宋" w:eastAsia="仿宋_GB2312"/>
          <w:color w:val="auto"/>
          <w:sz w:val="32"/>
          <w:szCs w:val="32"/>
          <w:highlight w:val="none"/>
          <w:u w:val="none" w:color="auto"/>
        </w:rPr>
        <w:t xml:space="preserve">  专项资金</w:t>
      </w:r>
      <w:r>
        <w:rPr>
          <w:rFonts w:hint="eastAsia" w:ascii="仿宋_GB2312" w:hAnsi="仿宋" w:eastAsia="仿宋_GB2312" w:cs="仿宋"/>
          <w:color w:val="auto"/>
          <w:sz w:val="32"/>
          <w:szCs w:val="32"/>
          <w:highlight w:val="none"/>
          <w:u w:val="none" w:color="auto"/>
        </w:rPr>
        <w:t>的支付按照财政国库管理制度有关规定执行。属于政府采购管理范围的，按照政府采购有关规定执行。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仿宋" w:eastAsia="仿宋_GB2312"/>
          <w:b/>
          <w:color w:val="auto"/>
          <w:sz w:val="32"/>
          <w:szCs w:val="32"/>
          <w:highlight w:val="none"/>
          <w:u w:val="none" w:color="auto"/>
        </w:rPr>
      </w:pPr>
      <w:r>
        <w:rPr>
          <w:rFonts w:hint="eastAsia" w:ascii="仿宋_GB2312" w:hAnsi="仿宋" w:eastAsia="仿宋_GB2312"/>
          <w:b/>
          <w:color w:val="auto"/>
          <w:sz w:val="32"/>
          <w:szCs w:val="32"/>
          <w:highlight w:val="none"/>
          <w:u w:val="none" w:color="auto"/>
        </w:rPr>
        <w:t>第十</w:t>
      </w:r>
      <w:r>
        <w:rPr>
          <w:rFonts w:hint="eastAsia" w:ascii="仿宋_GB2312" w:hAnsi="仿宋" w:eastAsia="仿宋_GB2312"/>
          <w:b/>
          <w:color w:val="auto"/>
          <w:sz w:val="32"/>
          <w:szCs w:val="32"/>
          <w:highlight w:val="none"/>
          <w:u w:val="none" w:color="auto"/>
          <w:lang w:eastAsia="zh-CN"/>
        </w:rPr>
        <w:t>八</w:t>
      </w:r>
      <w:r>
        <w:rPr>
          <w:rFonts w:hint="eastAsia" w:ascii="仿宋_GB2312" w:hAnsi="仿宋" w:eastAsia="仿宋_GB2312"/>
          <w:b/>
          <w:color w:val="auto"/>
          <w:sz w:val="32"/>
          <w:szCs w:val="32"/>
          <w:highlight w:val="none"/>
          <w:u w:val="none" w:color="auto"/>
        </w:rPr>
        <w:t>条</w:t>
      </w:r>
      <w:r>
        <w:rPr>
          <w:rFonts w:hint="eastAsia" w:ascii="仿宋_GB2312" w:hAnsi="仿宋" w:eastAsia="仿宋_GB2312"/>
          <w:b/>
          <w:color w:val="auto"/>
          <w:sz w:val="32"/>
          <w:szCs w:val="32"/>
          <w:highlight w:val="none"/>
          <w:u w:val="none" w:color="auto"/>
          <w:lang w:val="en-US" w:eastAsia="zh-CN"/>
        </w:rPr>
        <w:t xml:space="preserve">  </w:t>
      </w:r>
      <w:r>
        <w:rPr>
          <w:rFonts w:hint="eastAsia" w:ascii="仿宋_GB2312" w:hAnsi="仿宋" w:eastAsia="仿宋_GB2312" w:cs="宋体"/>
          <w:color w:val="auto"/>
          <w:sz w:val="32"/>
          <w:szCs w:val="32"/>
          <w:highlight w:val="none"/>
          <w:u w:val="none"/>
        </w:rPr>
        <w:t>各地应当积极创新</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资金使用管理机制,可采用以奖代补、先建后补等方式，</w:t>
      </w:r>
      <w:r>
        <w:rPr>
          <w:rFonts w:hint="eastAsia" w:ascii="仿宋_GB2312" w:hAnsi="仿宋" w:eastAsia="仿宋_GB2312" w:cs="宋体"/>
          <w:color w:val="auto"/>
          <w:sz w:val="32"/>
          <w:szCs w:val="32"/>
          <w:highlight w:val="none"/>
          <w:u w:val="none"/>
          <w:lang w:eastAsia="zh-CN"/>
        </w:rPr>
        <w:t>探索实施差异化的财政补助政策。</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auto"/>
        <w:outlineLvl w:val="9"/>
        <w:rPr>
          <w:rFonts w:hint="eastAsia" w:ascii="仿宋_GB2312" w:hAnsi="仿宋" w:eastAsia="仿宋_GB2312"/>
          <w:color w:val="auto"/>
          <w:sz w:val="32"/>
          <w:szCs w:val="32"/>
          <w:highlight w:val="none"/>
          <w:u w:val="none" w:color="auto"/>
        </w:rPr>
      </w:pPr>
      <w:r>
        <w:rPr>
          <w:rFonts w:hint="eastAsia" w:ascii="仿宋_GB2312" w:hAnsi="仿宋" w:eastAsia="仿宋_GB2312"/>
          <w:b/>
          <w:color w:val="auto"/>
          <w:sz w:val="32"/>
          <w:szCs w:val="32"/>
          <w:highlight w:val="none"/>
          <w:u w:val="none" w:color="auto"/>
        </w:rPr>
        <w:t>第</w:t>
      </w:r>
      <w:r>
        <w:rPr>
          <w:rFonts w:hint="eastAsia" w:ascii="仿宋_GB2312" w:hAnsi="仿宋" w:eastAsia="仿宋_GB2312"/>
          <w:b/>
          <w:color w:val="auto"/>
          <w:sz w:val="32"/>
          <w:szCs w:val="32"/>
          <w:highlight w:val="none"/>
          <w:u w:val="none" w:color="auto"/>
          <w:lang w:eastAsia="zh-CN"/>
        </w:rPr>
        <w:t>十九</w:t>
      </w:r>
      <w:r>
        <w:rPr>
          <w:rFonts w:hint="eastAsia" w:ascii="仿宋_GB2312" w:hAnsi="仿宋" w:eastAsia="仿宋_GB2312"/>
          <w:b/>
          <w:color w:val="auto"/>
          <w:sz w:val="32"/>
          <w:szCs w:val="32"/>
          <w:highlight w:val="none"/>
          <w:u w:val="none" w:color="auto"/>
        </w:rPr>
        <w:t>条</w:t>
      </w:r>
      <w:r>
        <w:rPr>
          <w:rFonts w:hint="eastAsia" w:ascii="仿宋_GB2312" w:hAnsi="仿宋" w:eastAsia="仿宋_GB2312"/>
          <w:color w:val="auto"/>
          <w:sz w:val="32"/>
          <w:szCs w:val="32"/>
          <w:highlight w:val="none"/>
          <w:u w:val="none" w:color="auto"/>
        </w:rPr>
        <w:t xml:space="preserve">  专项资金使用管理应当全面落实预算信息公开有关要求。各级财政部门和林业主管部门应当按规定及时公开预算安排情况、资金管理办法、</w:t>
      </w:r>
      <w:r>
        <w:rPr>
          <w:rFonts w:hint="eastAsia" w:ascii="仿宋_GB2312" w:hAnsi="仿宋" w:eastAsia="仿宋_GB2312"/>
          <w:color w:val="auto"/>
          <w:sz w:val="32"/>
          <w:szCs w:val="32"/>
          <w:highlight w:val="none"/>
          <w:u w:val="none"/>
        </w:rPr>
        <w:t>项目分配结果、</w:t>
      </w:r>
      <w:r>
        <w:rPr>
          <w:rFonts w:hint="eastAsia" w:ascii="仿宋_GB2312" w:hAnsi="仿宋" w:eastAsia="仿宋_GB2312"/>
          <w:color w:val="auto"/>
          <w:sz w:val="32"/>
          <w:szCs w:val="32"/>
          <w:highlight w:val="none"/>
          <w:u w:val="none"/>
          <w:lang w:eastAsia="zh-CN"/>
        </w:rPr>
        <w:t>绩效目标、</w:t>
      </w:r>
      <w:r>
        <w:rPr>
          <w:rFonts w:hint="eastAsia" w:ascii="仿宋_GB2312" w:hAnsi="仿宋" w:eastAsia="仿宋_GB2312"/>
          <w:color w:val="auto"/>
          <w:sz w:val="32"/>
          <w:szCs w:val="32"/>
          <w:highlight w:val="none"/>
          <w:u w:val="none"/>
        </w:rPr>
        <w:t>绩效评价</w:t>
      </w:r>
      <w:r>
        <w:rPr>
          <w:rFonts w:hint="eastAsia" w:ascii="仿宋_GB2312" w:hAnsi="仿宋" w:eastAsia="仿宋_GB2312"/>
          <w:color w:val="auto"/>
          <w:sz w:val="32"/>
          <w:szCs w:val="32"/>
          <w:highlight w:val="none"/>
          <w:u w:val="none" w:color="auto"/>
        </w:rPr>
        <w:t>等信息。</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580" w:lineRule="exact"/>
        <w:jc w:val="center"/>
        <w:textAlignment w:val="auto"/>
        <w:outlineLvl w:val="9"/>
        <w:rPr>
          <w:rFonts w:hint="eastAsia" w:ascii="黑体" w:hAnsi="黑体" w:eastAsia="黑体" w:cs="黑体"/>
          <w:b w:val="0"/>
          <w:bCs/>
          <w:color w:val="auto"/>
          <w:sz w:val="32"/>
          <w:szCs w:val="32"/>
          <w:highlight w:val="none"/>
          <w:u w:val="none" w:color="auto"/>
          <w:lang w:eastAsia="zh-CN"/>
        </w:rPr>
      </w:pPr>
      <w:r>
        <w:rPr>
          <w:rFonts w:hint="eastAsia" w:ascii="黑体" w:hAnsi="黑体" w:eastAsia="黑体" w:cs="黑体"/>
          <w:b w:val="0"/>
          <w:bCs/>
          <w:color w:val="auto"/>
          <w:sz w:val="32"/>
          <w:szCs w:val="32"/>
          <w:highlight w:val="none"/>
          <w:u w:val="none" w:color="auto"/>
        </w:rPr>
        <w:t>第</w:t>
      </w:r>
      <w:r>
        <w:rPr>
          <w:rFonts w:hint="eastAsia" w:ascii="黑体" w:hAnsi="黑体" w:eastAsia="黑体" w:cs="黑体"/>
          <w:b w:val="0"/>
          <w:bCs/>
          <w:color w:val="auto"/>
          <w:sz w:val="32"/>
          <w:szCs w:val="32"/>
          <w:highlight w:val="none"/>
          <w:u w:val="none" w:color="auto"/>
          <w:lang w:eastAsia="zh-CN"/>
        </w:rPr>
        <w:t>五</w:t>
      </w:r>
      <w:r>
        <w:rPr>
          <w:rFonts w:hint="eastAsia" w:ascii="黑体" w:hAnsi="黑体" w:eastAsia="黑体" w:cs="黑体"/>
          <w:b w:val="0"/>
          <w:bCs/>
          <w:color w:val="auto"/>
          <w:sz w:val="32"/>
          <w:szCs w:val="32"/>
          <w:highlight w:val="none"/>
          <w:u w:val="none" w:color="auto"/>
        </w:rPr>
        <w:t>章</w:t>
      </w:r>
      <w:r>
        <w:rPr>
          <w:rFonts w:hint="eastAsia" w:ascii="黑体" w:hAnsi="黑体" w:eastAsia="黑体" w:cs="黑体"/>
          <w:b w:val="0"/>
          <w:bCs/>
          <w:color w:val="auto"/>
          <w:sz w:val="32"/>
          <w:szCs w:val="32"/>
          <w:highlight w:val="none"/>
          <w:u w:val="none" w:color="auto"/>
          <w:lang w:val="en-US" w:eastAsia="zh-CN"/>
        </w:rPr>
        <w:t xml:space="preserve"> </w:t>
      </w:r>
      <w:r>
        <w:rPr>
          <w:rFonts w:hint="eastAsia" w:ascii="黑体" w:hAnsi="黑体" w:eastAsia="黑体" w:cs="黑体"/>
          <w:b w:val="0"/>
          <w:bCs/>
          <w:color w:val="auto"/>
          <w:sz w:val="32"/>
          <w:szCs w:val="32"/>
          <w:highlight w:val="none"/>
          <w:u w:val="none" w:color="auto"/>
        </w:rPr>
        <w:t xml:space="preserve"> 预算绩效管理</w:t>
      </w:r>
      <w:r>
        <w:rPr>
          <w:rFonts w:hint="eastAsia" w:ascii="黑体" w:hAnsi="黑体" w:eastAsia="黑体" w:cs="黑体"/>
          <w:b w:val="0"/>
          <w:bCs/>
          <w:color w:val="auto"/>
          <w:sz w:val="32"/>
          <w:szCs w:val="32"/>
          <w:highlight w:val="none"/>
          <w:u w:val="none" w:color="auto"/>
          <w:lang w:eastAsia="zh-CN"/>
        </w:rPr>
        <w:t>和监督</w:t>
      </w:r>
    </w:p>
    <w:p>
      <w:pPr>
        <w:keepNext w:val="0"/>
        <w:keepLines w:val="0"/>
        <w:pageBreakBefore w:val="0"/>
        <w:widowControl w:val="0"/>
        <w:tabs>
          <w:tab w:val="left" w:pos="1440"/>
        </w:tabs>
        <w:kinsoku/>
        <w:wordWrap/>
        <w:overflowPunct/>
        <w:topLinePunct w:val="0"/>
        <w:autoSpaceDE/>
        <w:autoSpaceDN/>
        <w:bidi w:val="0"/>
        <w:adjustRightInd w:val="0"/>
        <w:snapToGrid w:val="0"/>
        <w:spacing w:line="580" w:lineRule="exact"/>
        <w:ind w:firstLine="622" w:firstLineChars="20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Times New Roman"/>
          <w:b/>
          <w:color w:val="auto"/>
          <w:sz w:val="32"/>
          <w:szCs w:val="32"/>
          <w:highlight w:val="none"/>
          <w:u w:val="none"/>
        </w:rPr>
        <w:t>第</w:t>
      </w:r>
      <w:r>
        <w:rPr>
          <w:rFonts w:hint="eastAsia" w:ascii="仿宋_GB2312" w:hAnsi="仿宋" w:eastAsia="仿宋_GB2312" w:cs="Times New Roman"/>
          <w:b/>
          <w:color w:val="auto"/>
          <w:sz w:val="32"/>
          <w:szCs w:val="32"/>
          <w:highlight w:val="none"/>
          <w:u w:val="none"/>
          <w:lang w:eastAsia="zh-CN"/>
        </w:rPr>
        <w:t>二十</w:t>
      </w:r>
      <w:r>
        <w:rPr>
          <w:rFonts w:hint="eastAsia" w:ascii="仿宋_GB2312" w:hAnsi="仿宋" w:eastAsia="仿宋_GB2312" w:cs="Times New Roman"/>
          <w:b/>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专项资金应建立全过程预算绩效管理机制</w:t>
      </w:r>
      <w:r>
        <w:rPr>
          <w:rFonts w:hint="eastAsia" w:ascii="仿宋_GB2312" w:hAnsi="仿宋_GB2312" w:eastAsia="仿宋_GB2312" w:cs="仿宋_GB2312"/>
          <w:color w:val="auto"/>
          <w:spacing w:val="0"/>
          <w:kern w:val="0"/>
          <w:sz w:val="32"/>
          <w:szCs w:val="32"/>
          <w:highlight w:val="none"/>
          <w:u w:val="none"/>
          <w:lang w:val="en-US" w:eastAsia="zh-CN" w:bidi="ar"/>
        </w:rPr>
        <w:t>。</w:t>
      </w:r>
    </w:p>
    <w:p>
      <w:pPr>
        <w:keepNext w:val="0"/>
        <w:keepLines w:val="0"/>
        <w:pageBreakBefore w:val="0"/>
        <w:widowControl w:val="0"/>
        <w:tabs>
          <w:tab w:val="left" w:pos="1440"/>
        </w:tabs>
        <w:kinsoku/>
        <w:wordWrap/>
        <w:overflowPunct/>
        <w:topLinePunct w:val="0"/>
        <w:autoSpaceDE/>
        <w:autoSpaceDN/>
        <w:bidi w:val="0"/>
        <w:adjustRightInd w:val="0"/>
        <w:snapToGrid w:val="0"/>
        <w:spacing w:line="58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二十一</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各级林业主管部门要</w:t>
      </w:r>
      <w:r>
        <w:rPr>
          <w:rFonts w:hint="eastAsia" w:ascii="仿宋_GB2312" w:hAnsi="仿宋_GB2312" w:eastAsia="仿宋_GB2312" w:cs="仿宋_GB2312"/>
          <w:color w:val="auto"/>
          <w:spacing w:val="0"/>
          <w:kern w:val="0"/>
          <w:sz w:val="32"/>
          <w:szCs w:val="32"/>
          <w:highlight w:val="none"/>
          <w:u w:val="none"/>
          <w:lang w:val="en-US" w:eastAsia="zh-CN" w:bidi="ar"/>
        </w:rPr>
        <w:t>强化绩效目标管理，合理设置项目绩效目标，并</w:t>
      </w:r>
      <w:r>
        <w:rPr>
          <w:rFonts w:hint="eastAsia" w:ascii="仿宋_GB2312" w:hAnsi="仿宋" w:eastAsia="仿宋_GB2312" w:cs="宋体"/>
          <w:color w:val="auto"/>
          <w:sz w:val="32"/>
          <w:szCs w:val="32"/>
          <w:highlight w:val="none"/>
          <w:u w:val="none"/>
        </w:rPr>
        <w:t>随资金分配文件同步分解下达</w:t>
      </w:r>
      <w:r>
        <w:rPr>
          <w:rFonts w:hint="eastAsia" w:ascii="仿宋_GB2312" w:hAnsi="仿宋" w:eastAsia="仿宋_GB2312" w:cs="宋体"/>
          <w:color w:val="auto"/>
          <w:sz w:val="32"/>
          <w:szCs w:val="32"/>
          <w:highlight w:val="none"/>
          <w:u w:val="none"/>
          <w:lang w:eastAsia="zh-CN"/>
        </w:rPr>
        <w:t>。</w:t>
      </w:r>
    </w:p>
    <w:p>
      <w:pPr>
        <w:keepNext w:val="0"/>
        <w:keepLines w:val="0"/>
        <w:pageBreakBefore w:val="0"/>
        <w:widowControl w:val="0"/>
        <w:tabs>
          <w:tab w:val="left" w:pos="1440"/>
        </w:tabs>
        <w:kinsoku/>
        <w:wordWrap/>
        <w:overflowPunct/>
        <w:topLinePunct w:val="0"/>
        <w:autoSpaceDE/>
        <w:autoSpaceDN/>
        <w:bidi w:val="0"/>
        <w:adjustRightInd w:val="0"/>
        <w:snapToGrid w:val="0"/>
        <w:spacing w:line="580" w:lineRule="exact"/>
        <w:ind w:firstLine="622" w:firstLineChars="20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二十二</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各级林业主管部门要加强</w:t>
      </w:r>
      <w:r>
        <w:rPr>
          <w:rFonts w:hint="eastAsia" w:ascii="仿宋_GB2312" w:hAnsi="仿宋_GB2312" w:eastAsia="仿宋_GB2312" w:cs="仿宋_GB2312"/>
          <w:color w:val="auto"/>
          <w:spacing w:val="0"/>
          <w:kern w:val="0"/>
          <w:sz w:val="32"/>
          <w:szCs w:val="32"/>
          <w:highlight w:val="none"/>
          <w:u w:val="none"/>
          <w:lang w:val="en-US" w:eastAsia="zh-CN" w:bidi="ar"/>
        </w:rPr>
        <w:t>对绩效目标实现程度和预算执行进度“双监控”，发现绩效运行与预期绩效目标发生偏离时，应当及时采取措施予以纠正。</w:t>
      </w:r>
      <w:r>
        <w:rPr>
          <w:rFonts w:hint="eastAsia" w:ascii="仿宋_GB2312" w:hAnsi="仿宋" w:eastAsia="仿宋_GB2312" w:cs="宋体"/>
          <w:color w:val="auto"/>
          <w:sz w:val="32"/>
          <w:szCs w:val="32"/>
          <w:highlight w:val="none"/>
          <w:u w:val="none"/>
          <w:lang w:eastAsia="zh-CN"/>
        </w:rPr>
        <w:t>预算执行结束后，各地按要求开展绩效自评并由设区市汇总上报，并对上报的评价结果和绩效评价相关材料的真实性负责。省财政厅根据工作需要组织开展财政评价。</w:t>
      </w:r>
    </w:p>
    <w:p>
      <w:pPr>
        <w:keepNext w:val="0"/>
        <w:keepLines w:val="0"/>
        <w:pageBreakBefore w:val="0"/>
        <w:widowControl w:val="0"/>
        <w:tabs>
          <w:tab w:val="left" w:pos="1440"/>
        </w:tabs>
        <w:kinsoku/>
        <w:wordWrap/>
        <w:overflowPunct/>
        <w:topLinePunct w:val="0"/>
        <w:autoSpaceDE/>
        <w:autoSpaceDN/>
        <w:bidi w:val="0"/>
        <w:adjustRightInd w:val="0"/>
        <w:snapToGrid w:val="0"/>
        <w:spacing w:line="58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二十三</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各级林业主管部门将绩效运行监控、事中绩效评价及绩效评价等结果作为完善专项资金政策、改进管理以及下一年度预算申请、安排、分配的重要依</w:t>
      </w:r>
      <w:r>
        <w:rPr>
          <w:rFonts w:hint="eastAsia" w:ascii="仿宋_GB2312" w:hAnsi="仿宋" w:eastAsia="仿宋_GB2312" w:cs="宋体"/>
          <w:color w:val="auto"/>
          <w:sz w:val="32"/>
          <w:szCs w:val="32"/>
          <w:highlight w:val="none"/>
          <w:u w:val="none"/>
        </w:rPr>
        <w:t>据</w:t>
      </w:r>
      <w:r>
        <w:rPr>
          <w:rFonts w:hint="eastAsia" w:ascii="仿宋_GB2312" w:hAnsi="仿宋" w:eastAsia="仿宋_GB2312" w:cs="宋体"/>
          <w:color w:val="auto"/>
          <w:sz w:val="32"/>
          <w:szCs w:val="32"/>
          <w:highlight w:val="none"/>
          <w:u w:val="none"/>
          <w:lang w:eastAsia="zh-CN"/>
        </w:rPr>
        <w:t>，其中预算执行情况作为资金分配的重要因素，对预算执行缓慢的，相应减少安排下年度预算。</w:t>
      </w:r>
    </w:p>
    <w:p>
      <w:pPr>
        <w:keepNext w:val="0"/>
        <w:keepLines w:val="0"/>
        <w:pageBreakBefore w:val="0"/>
        <w:widowControl w:val="0"/>
        <w:tabs>
          <w:tab w:val="left" w:pos="1440"/>
        </w:tabs>
        <w:kinsoku/>
        <w:wordWrap/>
        <w:overflowPunct/>
        <w:topLinePunct w:val="0"/>
        <w:autoSpaceDE/>
        <w:autoSpaceDN/>
        <w:bidi w:val="0"/>
        <w:adjustRightInd w:val="0"/>
        <w:snapToGrid w:val="0"/>
        <w:spacing w:line="580" w:lineRule="exact"/>
        <w:ind w:firstLine="622" w:firstLineChars="200"/>
        <w:textAlignment w:val="auto"/>
        <w:outlineLvl w:val="9"/>
        <w:rPr>
          <w:rFonts w:hint="eastAsia" w:ascii="仿宋_GB2312" w:hAnsi="仿宋" w:eastAsia="仿宋_GB2312" w:cs="Times New Roman"/>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二十四</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Times New Roman"/>
          <w:color w:val="auto"/>
          <w:sz w:val="32"/>
          <w:szCs w:val="32"/>
          <w:highlight w:val="none"/>
          <w:u w:val="none"/>
        </w:rPr>
        <w:t xml:space="preserve"> </w:t>
      </w:r>
      <w:r>
        <w:rPr>
          <w:rFonts w:hint="eastAsia" w:ascii="仿宋_GB2312" w:hAnsi="仿宋" w:eastAsia="仿宋_GB2312" w:cs="宋体"/>
          <w:color w:val="auto"/>
          <w:sz w:val="32"/>
          <w:szCs w:val="32"/>
          <w:highlight w:val="none"/>
          <w:u w:val="none"/>
        </w:rPr>
        <w:t>各级财政部门和林业主管部门应当加强对</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资金的申请、分配、使用、管理情况的监督，发现问题及时纠正。</w:t>
      </w:r>
      <w:r>
        <w:rPr>
          <w:rFonts w:hint="eastAsia" w:ascii="仿宋_GB2312" w:hAnsi="仿宋" w:eastAsia="仿宋_GB2312" w:cs="Times New Roman"/>
          <w:color w:val="auto"/>
          <w:sz w:val="32"/>
          <w:szCs w:val="32"/>
          <w:highlight w:val="none"/>
          <w:u w:val="none"/>
        </w:rPr>
        <w:t>资金使用单位和个人应当主动接受财政、审计等部门的监督检查。</w:t>
      </w:r>
    </w:p>
    <w:p>
      <w:pPr>
        <w:keepNext w:val="0"/>
        <w:keepLines w:val="0"/>
        <w:pageBreakBefore w:val="0"/>
        <w:widowControl w:val="0"/>
        <w:kinsoku/>
        <w:wordWrap/>
        <w:overflowPunct/>
        <w:topLinePunct w:val="0"/>
        <w:autoSpaceDE/>
        <w:autoSpaceDN/>
        <w:bidi w:val="0"/>
        <w:spacing w:line="580" w:lineRule="exact"/>
        <w:ind w:firstLine="622" w:firstLineChars="20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二十五</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Times New Roman"/>
          <w:color w:val="auto"/>
          <w:sz w:val="32"/>
          <w:szCs w:val="32"/>
          <w:highlight w:val="none"/>
          <w:u w:val="none"/>
        </w:rPr>
        <w:t xml:space="preserve">  </w:t>
      </w:r>
      <w:r>
        <w:rPr>
          <w:rFonts w:hint="eastAsia" w:ascii="仿宋_GB2312" w:hAnsi="仿宋" w:eastAsia="仿宋_GB2312" w:cs="Times New Roman"/>
          <w:color w:val="auto"/>
          <w:sz w:val="32"/>
          <w:szCs w:val="32"/>
          <w:highlight w:val="none"/>
          <w:u w:val="none"/>
          <w:lang w:eastAsia="zh-CN"/>
        </w:rPr>
        <w:t>资金使用单位和个人在使用</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w:t>
      </w:r>
      <w:r>
        <w:rPr>
          <w:rFonts w:hint="eastAsia" w:ascii="仿宋_GB2312" w:hAnsi="仿宋" w:eastAsia="仿宋_GB2312" w:cs="宋体"/>
          <w:color w:val="auto"/>
          <w:sz w:val="32"/>
          <w:szCs w:val="32"/>
          <w:highlight w:val="none"/>
          <w:u w:val="none"/>
          <w:lang w:eastAsia="zh-CN"/>
        </w:rPr>
        <w:t>中存在违法违规行为的，按照</w:t>
      </w:r>
      <w:r>
        <w:rPr>
          <w:rFonts w:hint="eastAsia" w:ascii="仿宋_GB2312" w:hAnsi="仿宋" w:eastAsia="仿宋_GB2312" w:cs="宋体"/>
          <w:color w:val="auto"/>
          <w:sz w:val="32"/>
          <w:szCs w:val="32"/>
          <w:highlight w:val="none"/>
          <w:u w:val="none"/>
        </w:rPr>
        <w:t>《</w:t>
      </w:r>
      <w:r>
        <w:rPr>
          <w:rFonts w:hint="eastAsia" w:ascii="仿宋_GB2312" w:hAnsi="仿宋" w:eastAsia="仿宋_GB2312" w:cs="宋体"/>
          <w:color w:val="auto"/>
          <w:sz w:val="32"/>
          <w:szCs w:val="32"/>
          <w:highlight w:val="none"/>
          <w:u w:val="none"/>
          <w:lang w:eastAsia="zh-CN"/>
        </w:rPr>
        <w:t>中华人民共和国</w:t>
      </w:r>
      <w:r>
        <w:rPr>
          <w:rFonts w:hint="eastAsia" w:ascii="仿宋_GB2312" w:hAnsi="仿宋" w:eastAsia="仿宋_GB2312" w:cs="宋体"/>
          <w:color w:val="auto"/>
          <w:sz w:val="32"/>
          <w:szCs w:val="32"/>
          <w:highlight w:val="none"/>
          <w:u w:val="none"/>
        </w:rPr>
        <w:t>预算法》《财政违法行为处罚处分条例》等有关规定追究</w:t>
      </w:r>
      <w:r>
        <w:rPr>
          <w:rFonts w:hint="eastAsia" w:ascii="仿宋_GB2312" w:hAnsi="仿宋" w:eastAsia="仿宋_GB2312" w:cs="宋体"/>
          <w:color w:val="auto"/>
          <w:sz w:val="32"/>
          <w:szCs w:val="32"/>
          <w:highlight w:val="none"/>
          <w:u w:val="none"/>
          <w:lang w:eastAsia="zh-CN"/>
        </w:rPr>
        <w:t>相应</w:t>
      </w:r>
      <w:r>
        <w:rPr>
          <w:rFonts w:hint="eastAsia" w:ascii="仿宋_GB2312" w:hAnsi="仿宋" w:eastAsia="仿宋_GB2312" w:cs="宋体"/>
          <w:color w:val="auto"/>
          <w:sz w:val="32"/>
          <w:szCs w:val="32"/>
          <w:highlight w:val="none"/>
          <w:u w:val="none"/>
        </w:rPr>
        <w:t>责任。</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580" w:lineRule="exact"/>
        <w:jc w:val="center"/>
        <w:textAlignment w:val="auto"/>
        <w:outlineLvl w:val="9"/>
        <w:rPr>
          <w:rFonts w:hint="eastAsia" w:ascii="黑体" w:hAnsi="黑体" w:eastAsia="黑体" w:cs="黑体"/>
          <w:b w:val="0"/>
          <w:bCs/>
          <w:color w:val="auto"/>
          <w:sz w:val="32"/>
          <w:szCs w:val="32"/>
          <w:highlight w:val="none"/>
          <w:u w:val="none" w:color="auto"/>
        </w:rPr>
      </w:pPr>
      <w:r>
        <w:rPr>
          <w:rFonts w:hint="eastAsia" w:ascii="黑体" w:hAnsi="黑体" w:eastAsia="黑体" w:cs="黑体"/>
          <w:b w:val="0"/>
          <w:bCs/>
          <w:color w:val="auto"/>
          <w:sz w:val="32"/>
          <w:szCs w:val="32"/>
          <w:highlight w:val="none"/>
          <w:u w:val="none" w:color="auto"/>
        </w:rPr>
        <w:t>第</w:t>
      </w:r>
      <w:r>
        <w:rPr>
          <w:rFonts w:hint="eastAsia" w:ascii="黑体" w:hAnsi="黑体" w:eastAsia="黑体" w:cs="黑体"/>
          <w:b w:val="0"/>
          <w:bCs/>
          <w:color w:val="auto"/>
          <w:sz w:val="32"/>
          <w:szCs w:val="32"/>
          <w:highlight w:val="none"/>
          <w:u w:val="none" w:color="auto"/>
          <w:lang w:eastAsia="zh-CN"/>
        </w:rPr>
        <w:t>六</w:t>
      </w:r>
      <w:r>
        <w:rPr>
          <w:rFonts w:hint="eastAsia" w:ascii="黑体" w:hAnsi="黑体" w:eastAsia="黑体" w:cs="黑体"/>
          <w:b w:val="0"/>
          <w:bCs/>
          <w:color w:val="auto"/>
          <w:sz w:val="32"/>
          <w:szCs w:val="32"/>
          <w:highlight w:val="none"/>
          <w:u w:val="none" w:color="auto"/>
        </w:rPr>
        <w:t>章</w:t>
      </w:r>
      <w:r>
        <w:rPr>
          <w:rFonts w:hint="eastAsia" w:ascii="黑体" w:hAnsi="黑体" w:eastAsia="黑体" w:cs="黑体"/>
          <w:b w:val="0"/>
          <w:bCs/>
          <w:color w:val="auto"/>
          <w:sz w:val="32"/>
          <w:szCs w:val="32"/>
          <w:highlight w:val="none"/>
          <w:u w:val="none" w:color="auto"/>
          <w:lang w:val="en-US" w:eastAsia="zh-CN"/>
        </w:rPr>
        <w:t xml:space="preserve"> </w:t>
      </w:r>
      <w:r>
        <w:rPr>
          <w:rFonts w:hint="eastAsia" w:ascii="黑体" w:hAnsi="黑体" w:eastAsia="黑体" w:cs="黑体"/>
          <w:b w:val="0"/>
          <w:bCs/>
          <w:color w:val="auto"/>
          <w:sz w:val="32"/>
          <w:szCs w:val="32"/>
          <w:highlight w:val="none"/>
          <w:u w:val="none" w:color="auto"/>
        </w:rPr>
        <w:t xml:space="preserve"> 附</w:t>
      </w:r>
      <w:r>
        <w:rPr>
          <w:rFonts w:hint="eastAsia" w:ascii="黑体" w:hAnsi="黑体" w:eastAsia="黑体" w:cs="黑体"/>
          <w:b w:val="0"/>
          <w:bCs/>
          <w:color w:val="auto"/>
          <w:sz w:val="32"/>
          <w:szCs w:val="32"/>
          <w:highlight w:val="none"/>
          <w:u w:val="none" w:color="auto"/>
          <w:lang w:val="en-US" w:eastAsia="zh-CN"/>
        </w:rPr>
        <w:t xml:space="preserve">  </w:t>
      </w:r>
      <w:r>
        <w:rPr>
          <w:rFonts w:hint="eastAsia" w:ascii="黑体" w:hAnsi="黑体" w:eastAsia="黑体" w:cs="黑体"/>
          <w:b w:val="0"/>
          <w:bCs/>
          <w:color w:val="auto"/>
          <w:sz w:val="32"/>
          <w:szCs w:val="32"/>
          <w:highlight w:val="none"/>
          <w:u w:val="none" w:color="auto"/>
        </w:rPr>
        <w:t>则</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19" w:firstLineChars="199"/>
        <w:textAlignment w:val="auto"/>
        <w:outlineLvl w:val="9"/>
        <w:rPr>
          <w:rFonts w:hint="eastAsia" w:ascii="仿宋_GB2312" w:hAnsi="仿宋" w:eastAsia="仿宋_GB2312" w:cs="仿宋"/>
          <w:color w:val="auto"/>
          <w:spacing w:val="-4"/>
          <w:sz w:val="32"/>
          <w:szCs w:val="32"/>
          <w:highlight w:val="none"/>
          <w:u w:val="none" w:color="auto"/>
          <w:lang w:eastAsia="zh-CN"/>
        </w:rPr>
      </w:pPr>
      <w:r>
        <w:rPr>
          <w:rFonts w:hint="eastAsia" w:ascii="仿宋_GB2312" w:hAnsi="仿宋" w:eastAsia="仿宋_GB2312" w:cs="宋体"/>
          <w:b/>
          <w:bCs/>
          <w:color w:val="auto"/>
          <w:spacing w:val="0"/>
          <w:sz w:val="32"/>
          <w:szCs w:val="32"/>
          <w:highlight w:val="none"/>
          <w:u w:val="none"/>
        </w:rPr>
        <w:t>第</w:t>
      </w:r>
      <w:r>
        <w:rPr>
          <w:rFonts w:hint="eastAsia" w:ascii="仿宋_GB2312" w:hAnsi="仿宋" w:eastAsia="仿宋_GB2312" w:cs="宋体"/>
          <w:b/>
          <w:bCs/>
          <w:color w:val="auto"/>
          <w:spacing w:val="0"/>
          <w:sz w:val="32"/>
          <w:szCs w:val="32"/>
          <w:highlight w:val="none"/>
          <w:u w:val="none"/>
          <w:lang w:eastAsia="zh-CN"/>
        </w:rPr>
        <w:t>二十</w:t>
      </w:r>
      <w:r>
        <w:rPr>
          <w:rFonts w:hint="eastAsia" w:ascii="仿宋_GB2312" w:hAnsi="仿宋" w:eastAsia="仿宋_GB2312" w:cs="宋体"/>
          <w:b/>
          <w:bCs/>
          <w:color w:val="auto"/>
          <w:spacing w:val="0"/>
          <w:sz w:val="32"/>
          <w:szCs w:val="32"/>
          <w:highlight w:val="none"/>
          <w:u w:val="none"/>
          <w:lang w:eastAsia="zh-CN"/>
        </w:rPr>
        <w:t>六</w:t>
      </w:r>
      <w:r>
        <w:rPr>
          <w:rFonts w:hint="eastAsia" w:ascii="仿宋_GB2312" w:hAnsi="仿宋" w:eastAsia="仿宋_GB2312" w:cs="宋体"/>
          <w:b/>
          <w:bCs/>
          <w:color w:val="auto"/>
          <w:spacing w:val="0"/>
          <w:sz w:val="32"/>
          <w:szCs w:val="32"/>
          <w:highlight w:val="none"/>
          <w:u w:val="none"/>
          <w:lang w:eastAsia="zh-CN"/>
        </w:rPr>
        <w:t>条</w:t>
      </w:r>
      <w:r>
        <w:rPr>
          <w:rFonts w:hint="eastAsia" w:ascii="仿宋_GB2312" w:hAnsi="仿宋" w:eastAsia="仿宋_GB2312" w:cs="宋体"/>
          <w:color w:val="auto"/>
          <w:spacing w:val="0"/>
          <w:sz w:val="32"/>
          <w:szCs w:val="32"/>
          <w:highlight w:val="none"/>
          <w:u w:val="none"/>
        </w:rPr>
        <w:t xml:space="preserve">  </w:t>
      </w:r>
      <w:r>
        <w:rPr>
          <w:rFonts w:hint="eastAsia" w:ascii="仿宋_GB2312" w:hAnsi="仿宋" w:eastAsia="仿宋_GB2312" w:cs="宋体"/>
          <w:color w:val="auto"/>
          <w:spacing w:val="0"/>
          <w:sz w:val="32"/>
          <w:szCs w:val="32"/>
          <w:highlight w:val="none"/>
          <w:u w:val="none"/>
          <w:lang w:eastAsia="zh-CN"/>
        </w:rPr>
        <w:t>中央财政</w:t>
      </w:r>
      <w:r>
        <w:rPr>
          <w:rFonts w:hint="eastAsia" w:ascii="仿宋_GB2312" w:hAnsi="仿宋" w:eastAsia="仿宋_GB2312" w:cs="宋体"/>
          <w:b w:val="0"/>
          <w:bCs w:val="0"/>
          <w:strike w:val="0"/>
          <w:dstrike w:val="0"/>
          <w:color w:val="auto"/>
          <w:sz w:val="32"/>
          <w:szCs w:val="32"/>
          <w:highlight w:val="none"/>
          <w:u w:val="none"/>
          <w:lang w:eastAsia="zh-CN"/>
        </w:rPr>
        <w:t>下达</w:t>
      </w:r>
      <w:r>
        <w:rPr>
          <w:rFonts w:hint="eastAsia" w:ascii="仿宋_GB2312" w:hAnsi="仿宋" w:eastAsia="仿宋_GB2312" w:cs="宋体"/>
          <w:strike w:val="0"/>
          <w:dstrike w:val="0"/>
          <w:color w:val="auto"/>
          <w:sz w:val="32"/>
          <w:szCs w:val="32"/>
          <w:highlight w:val="none"/>
          <w:u w:val="none"/>
          <w:lang w:eastAsia="zh-CN"/>
        </w:rPr>
        <w:t>的有关</w:t>
      </w:r>
      <w:r>
        <w:rPr>
          <w:rFonts w:hint="eastAsia" w:ascii="仿宋_GB2312" w:hAnsi="仿宋" w:eastAsia="仿宋_GB2312" w:cs="宋体"/>
          <w:color w:val="auto"/>
          <w:spacing w:val="0"/>
          <w:sz w:val="32"/>
          <w:szCs w:val="32"/>
          <w:highlight w:val="none"/>
          <w:u w:val="none"/>
          <w:lang w:eastAsia="zh-CN"/>
        </w:rPr>
        <w:t>资</w:t>
      </w:r>
      <w:r>
        <w:rPr>
          <w:rFonts w:hint="eastAsia" w:ascii="仿宋_GB2312" w:hAnsi="仿宋" w:eastAsia="仿宋_GB2312" w:cs="仿宋"/>
          <w:color w:val="auto"/>
          <w:spacing w:val="-4"/>
          <w:sz w:val="32"/>
          <w:szCs w:val="32"/>
          <w:highlight w:val="none"/>
          <w:u w:val="none" w:color="auto"/>
          <w:lang w:eastAsia="zh-CN"/>
        </w:rPr>
        <w:t>金按照本办法规定执行，有另行规定的按中央管理办法有关规定执行。</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03" w:firstLineChars="199"/>
        <w:textAlignment w:val="auto"/>
        <w:outlineLvl w:val="9"/>
        <w:rPr>
          <w:rFonts w:hint="eastAsia" w:ascii="仿宋_GB2312" w:hAnsi="仿宋" w:eastAsia="仿宋_GB2312" w:cs="仿宋"/>
          <w:color w:val="auto"/>
          <w:spacing w:val="-4"/>
          <w:sz w:val="32"/>
          <w:szCs w:val="32"/>
          <w:highlight w:val="none"/>
          <w:u w:val="none" w:color="auto"/>
        </w:rPr>
      </w:pPr>
      <w:r>
        <w:rPr>
          <w:rFonts w:hint="eastAsia" w:ascii="仿宋_GB2312" w:hAnsi="仿宋" w:eastAsia="仿宋_GB2312" w:cs="仿宋"/>
          <w:color w:val="auto"/>
          <w:spacing w:val="-4"/>
          <w:sz w:val="32"/>
          <w:szCs w:val="32"/>
          <w:highlight w:val="none"/>
          <w:u w:val="none" w:color="auto"/>
        </w:rPr>
        <w:t>各市、县（区）财政部门和林业主管部门应根据本办法制定具体实施办法，加强和规范资金管理。</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19" w:firstLineChars="199"/>
        <w:textAlignment w:val="auto"/>
        <w:outlineLvl w:val="9"/>
        <w:rPr>
          <w:rFonts w:hint="eastAsia" w:ascii="仿宋_GB2312" w:hAnsi="仿宋" w:eastAsia="仿宋_GB2312" w:cs="仿宋"/>
          <w:color w:val="auto"/>
          <w:spacing w:val="-4"/>
          <w:sz w:val="32"/>
          <w:szCs w:val="32"/>
          <w:highlight w:val="none"/>
          <w:u w:val="none" w:color="auto"/>
        </w:rPr>
      </w:pPr>
      <w:r>
        <w:rPr>
          <w:rFonts w:hint="eastAsia" w:ascii="仿宋_GB2312" w:hAnsi="仿宋" w:eastAsia="仿宋_GB2312" w:cs="宋体"/>
          <w:b/>
          <w:bCs/>
          <w:color w:val="auto"/>
          <w:spacing w:val="0"/>
          <w:sz w:val="32"/>
          <w:szCs w:val="32"/>
          <w:highlight w:val="none"/>
          <w:u w:val="none"/>
        </w:rPr>
        <w:t>第</w:t>
      </w:r>
      <w:r>
        <w:rPr>
          <w:rFonts w:hint="eastAsia" w:ascii="仿宋_GB2312" w:hAnsi="仿宋" w:eastAsia="仿宋_GB2312" w:cs="宋体"/>
          <w:b/>
          <w:bCs/>
          <w:color w:val="auto"/>
          <w:spacing w:val="0"/>
          <w:sz w:val="32"/>
          <w:szCs w:val="32"/>
          <w:highlight w:val="none"/>
          <w:u w:val="none"/>
          <w:lang w:eastAsia="zh-CN"/>
        </w:rPr>
        <w:t>二十</w:t>
      </w:r>
      <w:r>
        <w:rPr>
          <w:rFonts w:hint="eastAsia" w:ascii="仿宋_GB2312" w:hAnsi="仿宋" w:eastAsia="仿宋_GB2312" w:cs="宋体"/>
          <w:b/>
          <w:bCs/>
          <w:color w:val="auto"/>
          <w:spacing w:val="0"/>
          <w:sz w:val="32"/>
          <w:szCs w:val="32"/>
          <w:highlight w:val="none"/>
          <w:u w:val="none"/>
          <w:lang w:eastAsia="zh-CN"/>
        </w:rPr>
        <w:t>七</w:t>
      </w:r>
      <w:r>
        <w:rPr>
          <w:rFonts w:hint="eastAsia" w:ascii="仿宋_GB2312" w:hAnsi="仿宋" w:eastAsia="仿宋_GB2312" w:cs="宋体"/>
          <w:b/>
          <w:bCs/>
          <w:color w:val="auto"/>
          <w:spacing w:val="0"/>
          <w:sz w:val="32"/>
          <w:szCs w:val="32"/>
          <w:highlight w:val="none"/>
          <w:u w:val="none"/>
        </w:rPr>
        <w:t xml:space="preserve">条 </w:t>
      </w:r>
      <w:r>
        <w:rPr>
          <w:rFonts w:hint="eastAsia" w:ascii="仿宋_GB2312" w:hAnsi="仿宋" w:eastAsia="仿宋_GB2312" w:cs="仿宋"/>
          <w:color w:val="auto"/>
          <w:spacing w:val="-4"/>
          <w:sz w:val="32"/>
          <w:szCs w:val="32"/>
          <w:highlight w:val="none"/>
          <w:u w:val="none" w:color="auto"/>
          <w:lang w:val="en-US" w:eastAsia="zh-CN"/>
        </w:rPr>
        <w:t xml:space="preserve"> </w:t>
      </w:r>
      <w:r>
        <w:rPr>
          <w:rFonts w:hint="eastAsia" w:ascii="仿宋_GB2312" w:hAnsi="仿宋" w:eastAsia="仿宋_GB2312" w:cs="仿宋"/>
          <w:b w:val="0"/>
          <w:bCs w:val="0"/>
          <w:color w:val="auto"/>
          <w:spacing w:val="-4"/>
          <w:sz w:val="32"/>
          <w:szCs w:val="32"/>
          <w:highlight w:val="none"/>
          <w:u w:val="none" w:color="auto"/>
          <w:lang w:val="en-US" w:eastAsia="zh-CN"/>
        </w:rPr>
        <w:t>各地应根据财政事权与支出责任划分改革实施方案要求，安排资金用于</w:t>
      </w:r>
      <w:r>
        <w:rPr>
          <w:rFonts w:hint="eastAsia" w:ascii="仿宋_GB2312" w:hAnsi="仿宋" w:eastAsia="仿宋_GB2312" w:cs="仿宋"/>
          <w:bCs w:val="0"/>
          <w:color w:val="auto"/>
          <w:spacing w:val="-4"/>
          <w:sz w:val="32"/>
          <w:szCs w:val="32"/>
          <w:highlight w:val="none"/>
          <w:u w:val="none" w:color="auto"/>
        </w:rPr>
        <w:t>林下经济</w:t>
      </w:r>
      <w:r>
        <w:rPr>
          <w:rFonts w:hint="eastAsia" w:ascii="仿宋_GB2312" w:hAnsi="仿宋" w:eastAsia="仿宋_GB2312" w:cs="仿宋"/>
          <w:bCs w:val="0"/>
          <w:color w:val="auto"/>
          <w:spacing w:val="-4"/>
          <w:sz w:val="32"/>
          <w:szCs w:val="32"/>
          <w:highlight w:val="none"/>
          <w:u w:val="none" w:color="auto"/>
          <w:lang w:eastAsia="zh-CN"/>
        </w:rPr>
        <w:t>发展</w:t>
      </w:r>
      <w:r>
        <w:rPr>
          <w:rFonts w:hint="eastAsia" w:ascii="仿宋_GB2312" w:hAnsi="仿宋" w:eastAsia="仿宋_GB2312" w:cs="仿宋"/>
          <w:bCs w:val="0"/>
          <w:color w:val="auto"/>
          <w:spacing w:val="-4"/>
          <w:sz w:val="32"/>
          <w:szCs w:val="32"/>
          <w:highlight w:val="none"/>
          <w:u w:val="none" w:color="auto"/>
        </w:rPr>
        <w:t>、竹产业发展、花卉产业发展、林业科技推广、</w:t>
      </w:r>
      <w:r>
        <w:rPr>
          <w:rFonts w:hint="eastAsia" w:ascii="仿宋_GB2312" w:hAnsi="仿宋" w:eastAsia="仿宋_GB2312" w:cs="仿宋"/>
          <w:color w:val="auto"/>
          <w:spacing w:val="-4"/>
          <w:sz w:val="32"/>
          <w:szCs w:val="32"/>
          <w:highlight w:val="none"/>
          <w:u w:val="none" w:color="auto"/>
        </w:rPr>
        <w:t>新型林业经营主体</w:t>
      </w:r>
      <w:r>
        <w:rPr>
          <w:rFonts w:hint="eastAsia" w:ascii="仿宋_GB2312" w:hAnsi="仿宋" w:eastAsia="仿宋_GB2312" w:cs="仿宋"/>
          <w:color w:val="auto"/>
          <w:spacing w:val="-4"/>
          <w:sz w:val="32"/>
          <w:szCs w:val="32"/>
          <w:highlight w:val="none"/>
          <w:u w:val="none" w:color="auto"/>
          <w:lang w:eastAsia="zh-CN"/>
        </w:rPr>
        <w:t>、林业贷款贴息等</w:t>
      </w:r>
      <w:r>
        <w:rPr>
          <w:rFonts w:hint="eastAsia" w:ascii="仿宋_GB2312" w:hAnsi="仿宋" w:eastAsia="仿宋_GB2312" w:cs="仿宋"/>
          <w:color w:val="auto"/>
          <w:spacing w:val="-4"/>
          <w:sz w:val="32"/>
          <w:szCs w:val="32"/>
          <w:highlight w:val="none"/>
          <w:u w:val="none" w:color="auto"/>
          <w:lang w:val="en-US"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19" w:firstLineChars="199"/>
        <w:textAlignment w:val="auto"/>
        <w:outlineLvl w:val="9"/>
        <w:rPr>
          <w:rFonts w:hint="eastAsia" w:ascii="仿宋_GB2312" w:hAnsi="仿宋" w:eastAsia="仿宋_GB2312" w:cs="仿宋"/>
          <w:color w:val="auto"/>
          <w:spacing w:val="-4"/>
          <w:sz w:val="32"/>
          <w:szCs w:val="32"/>
          <w:highlight w:val="none"/>
          <w:u w:val="none" w:color="auto"/>
        </w:rPr>
      </w:pPr>
      <w:r>
        <w:rPr>
          <w:rFonts w:hint="eastAsia" w:ascii="仿宋_GB2312" w:hAnsi="仿宋" w:eastAsia="仿宋_GB2312" w:cs="宋体"/>
          <w:b/>
          <w:bCs/>
          <w:color w:val="auto"/>
          <w:spacing w:val="0"/>
          <w:sz w:val="32"/>
          <w:szCs w:val="32"/>
          <w:highlight w:val="none"/>
          <w:u w:val="none"/>
        </w:rPr>
        <w:t>第</w:t>
      </w:r>
      <w:r>
        <w:rPr>
          <w:rFonts w:hint="eastAsia" w:ascii="仿宋_GB2312" w:hAnsi="仿宋" w:eastAsia="仿宋_GB2312" w:cs="宋体"/>
          <w:b/>
          <w:bCs/>
          <w:color w:val="auto"/>
          <w:spacing w:val="0"/>
          <w:sz w:val="32"/>
          <w:szCs w:val="32"/>
          <w:highlight w:val="none"/>
          <w:u w:val="none"/>
          <w:lang w:eastAsia="zh-CN"/>
        </w:rPr>
        <w:t>二十</w:t>
      </w:r>
      <w:r>
        <w:rPr>
          <w:rFonts w:hint="eastAsia" w:ascii="仿宋_GB2312" w:hAnsi="仿宋" w:eastAsia="仿宋_GB2312" w:cs="宋体"/>
          <w:b/>
          <w:bCs/>
          <w:color w:val="auto"/>
          <w:spacing w:val="0"/>
          <w:sz w:val="32"/>
          <w:szCs w:val="32"/>
          <w:highlight w:val="none"/>
          <w:u w:val="none"/>
          <w:lang w:eastAsia="zh-CN"/>
        </w:rPr>
        <w:t>八</w:t>
      </w:r>
      <w:r>
        <w:rPr>
          <w:rFonts w:hint="eastAsia" w:ascii="仿宋_GB2312" w:hAnsi="仿宋" w:eastAsia="仿宋_GB2312" w:cs="宋体"/>
          <w:b/>
          <w:bCs/>
          <w:color w:val="auto"/>
          <w:spacing w:val="0"/>
          <w:sz w:val="32"/>
          <w:szCs w:val="32"/>
          <w:highlight w:val="none"/>
          <w:u w:val="none"/>
        </w:rPr>
        <w:t>条</w:t>
      </w:r>
      <w:r>
        <w:rPr>
          <w:rFonts w:hint="eastAsia" w:ascii="仿宋_GB2312" w:hAnsi="仿宋" w:eastAsia="仿宋_GB2312" w:cs="仿宋"/>
          <w:color w:val="auto"/>
          <w:spacing w:val="-4"/>
          <w:sz w:val="32"/>
          <w:szCs w:val="32"/>
          <w:highlight w:val="none"/>
          <w:u w:val="none" w:color="auto"/>
        </w:rPr>
        <w:t xml:space="preserve">  本办法由省财政厅会同省林业局负责解释。</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19" w:firstLineChars="199"/>
        <w:textAlignment w:val="auto"/>
        <w:outlineLvl w:val="9"/>
        <w:rPr>
          <w:rFonts w:hint="eastAsia" w:ascii="仿宋_GB2312" w:hAnsi="仿宋" w:eastAsia="仿宋_GB2312" w:cs="宋体"/>
          <w:color w:val="auto"/>
          <w:spacing w:val="-4"/>
          <w:sz w:val="32"/>
          <w:szCs w:val="32"/>
          <w:highlight w:val="none"/>
          <w:u w:val="none" w:color="auto"/>
          <w:lang w:val="en-US" w:eastAsia="zh-CN"/>
        </w:rPr>
      </w:pPr>
      <w:r>
        <w:rPr>
          <w:rFonts w:hint="eastAsia" w:ascii="仿宋_GB2312" w:hAnsi="仿宋" w:eastAsia="仿宋_GB2312" w:cs="宋体"/>
          <w:b/>
          <w:bCs/>
          <w:color w:val="auto"/>
          <w:spacing w:val="0"/>
          <w:sz w:val="32"/>
          <w:szCs w:val="32"/>
          <w:highlight w:val="none"/>
          <w:u w:val="none"/>
        </w:rPr>
        <w:t>第</w:t>
      </w:r>
      <w:r>
        <w:rPr>
          <w:rFonts w:hint="eastAsia" w:ascii="仿宋_GB2312" w:hAnsi="仿宋" w:eastAsia="仿宋_GB2312" w:cs="宋体"/>
          <w:b/>
          <w:bCs/>
          <w:color w:val="auto"/>
          <w:spacing w:val="0"/>
          <w:sz w:val="32"/>
          <w:szCs w:val="32"/>
          <w:highlight w:val="none"/>
          <w:u w:val="none"/>
          <w:lang w:eastAsia="zh-CN"/>
        </w:rPr>
        <w:t>二十九</w:t>
      </w:r>
      <w:r>
        <w:rPr>
          <w:rFonts w:hint="eastAsia" w:ascii="仿宋_GB2312" w:hAnsi="仿宋" w:eastAsia="仿宋_GB2312" w:cs="宋体"/>
          <w:b/>
          <w:bCs/>
          <w:color w:val="auto"/>
          <w:spacing w:val="0"/>
          <w:sz w:val="32"/>
          <w:szCs w:val="32"/>
          <w:highlight w:val="none"/>
          <w:u w:val="none"/>
        </w:rPr>
        <w:t>条</w:t>
      </w:r>
      <w:r>
        <w:rPr>
          <w:rFonts w:hint="eastAsia" w:ascii="仿宋_GB2312" w:hAnsi="仿宋" w:eastAsia="仿宋_GB2312" w:cs="仿宋"/>
          <w:b w:val="0"/>
          <w:color w:val="auto"/>
          <w:spacing w:val="-4"/>
          <w:sz w:val="32"/>
          <w:szCs w:val="32"/>
          <w:highlight w:val="none"/>
          <w:u w:val="none" w:color="auto"/>
        </w:rPr>
        <w:t xml:space="preserve">  </w:t>
      </w:r>
      <w:r>
        <w:rPr>
          <w:rFonts w:hint="eastAsia" w:ascii="仿宋_GB2312" w:hAnsi="仿宋" w:eastAsia="仿宋_GB2312" w:cs="仿宋"/>
          <w:color w:val="auto"/>
          <w:spacing w:val="-4"/>
          <w:kern w:val="2"/>
          <w:sz w:val="32"/>
          <w:szCs w:val="32"/>
          <w:highlight w:val="none"/>
          <w:u w:val="none" w:color="auto"/>
        </w:rPr>
        <w:t>本办法</w:t>
      </w:r>
      <w:r>
        <w:rPr>
          <w:rFonts w:hint="eastAsia" w:ascii="仿宋_GB2312" w:hAnsi="仿宋" w:eastAsia="仿宋_GB2312" w:cs="Times New Roman"/>
          <w:color w:val="auto"/>
          <w:spacing w:val="0"/>
          <w:kern w:val="0"/>
          <w:sz w:val="32"/>
          <w:szCs w:val="32"/>
          <w:highlight w:val="none"/>
          <w:u w:val="none"/>
        </w:rPr>
        <w:t>自印发之</w:t>
      </w:r>
      <w:r>
        <w:rPr>
          <w:rFonts w:hint="eastAsia" w:ascii="仿宋_GB2312" w:hAnsi="仿宋" w:eastAsia="仿宋_GB2312" w:cs="宋体"/>
          <w:color w:val="auto"/>
          <w:spacing w:val="-4"/>
          <w:sz w:val="32"/>
          <w:szCs w:val="32"/>
          <w:highlight w:val="none"/>
          <w:u w:val="none" w:color="auto"/>
        </w:rPr>
        <w:t>日起施行</w:t>
      </w:r>
      <w:r>
        <w:rPr>
          <w:rFonts w:hint="eastAsia" w:ascii="仿宋_GB2312" w:hAnsi="仿宋" w:eastAsia="仿宋_GB2312" w:cs="宋体"/>
          <w:color w:val="auto"/>
          <w:spacing w:val="-4"/>
          <w:sz w:val="32"/>
          <w:szCs w:val="32"/>
          <w:highlight w:val="none"/>
          <w:u w:val="none" w:color="auto"/>
          <w:lang w:eastAsia="zh-CN"/>
        </w:rPr>
        <w:t>，有效期至</w:t>
      </w:r>
      <w:r>
        <w:rPr>
          <w:rFonts w:hint="eastAsia" w:ascii="仿宋_GB2312" w:hAnsi="仿宋" w:eastAsia="仿宋_GB2312" w:cs="宋体"/>
          <w:color w:val="auto"/>
          <w:spacing w:val="-4"/>
          <w:sz w:val="32"/>
          <w:szCs w:val="32"/>
          <w:highlight w:val="none"/>
          <w:u w:val="none" w:color="auto"/>
          <w:lang w:val="en-US" w:eastAsia="zh-CN"/>
        </w:rPr>
        <w:t>2026年12月31日。</w:t>
      </w:r>
      <w:bookmarkStart w:id="0" w:name="_GoBack"/>
      <w:bookmarkEnd w:id="0"/>
    </w:p>
    <w:sectPr>
      <w:headerReference r:id="rId4" w:type="first"/>
      <w:headerReference r:id="rId3" w:type="default"/>
      <w:footerReference r:id="rId5" w:type="default"/>
      <w:footerReference r:id="rId6" w:type="even"/>
      <w:pgSz w:w="11906" w:h="16838"/>
      <w:pgMar w:top="1701" w:right="1531" w:bottom="1531" w:left="1531" w:header="851" w:footer="1134" w:gutter="0"/>
      <w:pgNumType w:fmt="numberInDash" w:start="1"/>
      <w:cols w:space="720" w:num="1"/>
      <w:rtlGutter w:val="0"/>
      <w:docGrid w:type="linesAndChars" w:linePitch="289" w:charSpace="-184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20"/>
        <w:tab w:val="clear" w:pos="8306"/>
      </w:tabs>
      <w:ind w:right="210" w:rightChars="10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5245735</wp:posOffset>
              </wp:positionH>
              <wp:positionV relativeFrom="paragraph">
                <wp:posOffset>-9525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tabs>
                              <w:tab w:val="right" w:pos="8820"/>
                              <w:tab w:val="clear" w:pos="8306"/>
                            </w:tabs>
                            <w:ind w:right="210" w:rightChars="100"/>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left:413.05pt;margin-top:-0.75pt;height:144pt;width:144pt;mso-position-horizontal-relative:margin;mso-wrap-style:none;z-index:251659264;mso-width-relative:page;mso-height-relative:page;" filled="f" stroked="f" coordsize="21600,21600" o:gfxdata="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a2OSG1gAAAAsBAAAPAAAA&#10;AAAAAAEAIAAAADgAAABkcnMvZG93bnJldi54bWxQSwECFAAUAAAACACHTuJA/WgR48gBAAB7AwAA&#10;DgAAAAAAAAABACAAAAA7AQAAZHJzL2Uyb0RvYy54bWxQSwUGAAAAAAYABgBZAQAAdQUAAAAA&#10;">
              <v:fill on="f" focussize="0,0"/>
              <v:stroke on="f"/>
              <v:imagedata o:title=""/>
              <o:lock v:ext="edit" aspectratio="f"/>
              <v:textbox inset="0mm,0mm,0mm,0mm" style="mso-fit-shape-to-text:t;">
                <w:txbxContent>
                  <w:p>
                    <w:pPr>
                      <w:pStyle w:val="5"/>
                      <w:tabs>
                        <w:tab w:val="right" w:pos="8820"/>
                        <w:tab w:val="clear" w:pos="8306"/>
                      </w:tabs>
                      <w:ind w:right="210" w:rightChars="100"/>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ind w:left="210" w:left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t05R/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Lt05R/HAQAAewMAAA4AAAAAAAAA&#10;AQAgAAAANAEAAGRycy9lMm9Eb2MueG1sUEsFBgAAAAAGAAYAWQEAAG0FAAAAAA==&#10;">
              <v:fill on="f" focussize="0,0"/>
              <v:stroke on="f"/>
              <v:imagedata o:title=""/>
              <o:lock v:ext="edit" aspectratio="f"/>
              <v:textbox inset="0mm,0mm,0mm,0mm" style="mso-fit-shape-to-text:t;">
                <w:txbxContent>
                  <w:p>
                    <w:pPr>
                      <w:pStyle w:val="5"/>
                      <w:ind w:left="210" w:left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evenAndOddHeaders w:val="true"/>
  <w:drawingGridHorizontalSpacing w:val="201"/>
  <w:drawingGridVerticalSpacing w:val="14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ExistBodyBookMark" w:val="False"/>
    <w:docVar w:name="WordType" w:val="createword"/>
  </w:docVars>
  <w:rsids>
    <w:rsidRoot w:val="0011735A"/>
    <w:rsid w:val="00001143"/>
    <w:rsid w:val="00001EDC"/>
    <w:rsid w:val="00011B5F"/>
    <w:rsid w:val="00017010"/>
    <w:rsid w:val="00021347"/>
    <w:rsid w:val="000232AA"/>
    <w:rsid w:val="000270E8"/>
    <w:rsid w:val="000337B0"/>
    <w:rsid w:val="00035199"/>
    <w:rsid w:val="00037583"/>
    <w:rsid w:val="00051EF2"/>
    <w:rsid w:val="00052C88"/>
    <w:rsid w:val="0008359F"/>
    <w:rsid w:val="00087E83"/>
    <w:rsid w:val="00090B3D"/>
    <w:rsid w:val="000A3D69"/>
    <w:rsid w:val="000A6FEF"/>
    <w:rsid w:val="000B0376"/>
    <w:rsid w:val="000B268B"/>
    <w:rsid w:val="000B612A"/>
    <w:rsid w:val="000C2545"/>
    <w:rsid w:val="000D7BD9"/>
    <w:rsid w:val="000E0882"/>
    <w:rsid w:val="000E222C"/>
    <w:rsid w:val="000E4758"/>
    <w:rsid w:val="000E611D"/>
    <w:rsid w:val="000F4178"/>
    <w:rsid w:val="000F4652"/>
    <w:rsid w:val="000F5DAE"/>
    <w:rsid w:val="000F67CB"/>
    <w:rsid w:val="001049CA"/>
    <w:rsid w:val="001142C3"/>
    <w:rsid w:val="0011735A"/>
    <w:rsid w:val="00121CD4"/>
    <w:rsid w:val="00123F0E"/>
    <w:rsid w:val="00125924"/>
    <w:rsid w:val="00132DF9"/>
    <w:rsid w:val="00137FE3"/>
    <w:rsid w:val="0014114E"/>
    <w:rsid w:val="00141B71"/>
    <w:rsid w:val="00154517"/>
    <w:rsid w:val="00154B55"/>
    <w:rsid w:val="00165F4A"/>
    <w:rsid w:val="00166A00"/>
    <w:rsid w:val="00173BF6"/>
    <w:rsid w:val="001832F0"/>
    <w:rsid w:val="00186528"/>
    <w:rsid w:val="00187F74"/>
    <w:rsid w:val="001951BB"/>
    <w:rsid w:val="001A68A7"/>
    <w:rsid w:val="001A6C57"/>
    <w:rsid w:val="001A6E56"/>
    <w:rsid w:val="001B634A"/>
    <w:rsid w:val="001D49AE"/>
    <w:rsid w:val="001E4209"/>
    <w:rsid w:val="001F088D"/>
    <w:rsid w:val="001F0EC3"/>
    <w:rsid w:val="0021023E"/>
    <w:rsid w:val="0021394F"/>
    <w:rsid w:val="002143DF"/>
    <w:rsid w:val="002162B1"/>
    <w:rsid w:val="00221A6B"/>
    <w:rsid w:val="00224A52"/>
    <w:rsid w:val="002307A9"/>
    <w:rsid w:val="00231DC3"/>
    <w:rsid w:val="00232F32"/>
    <w:rsid w:val="002536D2"/>
    <w:rsid w:val="00256986"/>
    <w:rsid w:val="00263FCD"/>
    <w:rsid w:val="00291D3C"/>
    <w:rsid w:val="002A08CE"/>
    <w:rsid w:val="002A3AD0"/>
    <w:rsid w:val="002B2E62"/>
    <w:rsid w:val="002B330A"/>
    <w:rsid w:val="002B394D"/>
    <w:rsid w:val="002B7FA0"/>
    <w:rsid w:val="002C09C6"/>
    <w:rsid w:val="002C15D6"/>
    <w:rsid w:val="002C47D7"/>
    <w:rsid w:val="002D1DF0"/>
    <w:rsid w:val="002F1B58"/>
    <w:rsid w:val="00305C66"/>
    <w:rsid w:val="00307145"/>
    <w:rsid w:val="00316EC5"/>
    <w:rsid w:val="00317194"/>
    <w:rsid w:val="003218DB"/>
    <w:rsid w:val="00322A51"/>
    <w:rsid w:val="00323919"/>
    <w:rsid w:val="00325038"/>
    <w:rsid w:val="0033604F"/>
    <w:rsid w:val="00337AC2"/>
    <w:rsid w:val="00345241"/>
    <w:rsid w:val="00350B48"/>
    <w:rsid w:val="003511AC"/>
    <w:rsid w:val="003569B0"/>
    <w:rsid w:val="00356B6B"/>
    <w:rsid w:val="003743DD"/>
    <w:rsid w:val="003756E5"/>
    <w:rsid w:val="003817E1"/>
    <w:rsid w:val="00384C45"/>
    <w:rsid w:val="003970BA"/>
    <w:rsid w:val="003A6414"/>
    <w:rsid w:val="003A73AF"/>
    <w:rsid w:val="003B255E"/>
    <w:rsid w:val="003B29D1"/>
    <w:rsid w:val="003B373A"/>
    <w:rsid w:val="003B653D"/>
    <w:rsid w:val="003C1050"/>
    <w:rsid w:val="003C23FF"/>
    <w:rsid w:val="003C6EEA"/>
    <w:rsid w:val="003D1F4F"/>
    <w:rsid w:val="003E1830"/>
    <w:rsid w:val="003E7A2A"/>
    <w:rsid w:val="003F05C9"/>
    <w:rsid w:val="003F1050"/>
    <w:rsid w:val="004023EE"/>
    <w:rsid w:val="00402A6C"/>
    <w:rsid w:val="00405B4B"/>
    <w:rsid w:val="00405CE3"/>
    <w:rsid w:val="004248FD"/>
    <w:rsid w:val="00430061"/>
    <w:rsid w:val="004310C7"/>
    <w:rsid w:val="00432501"/>
    <w:rsid w:val="00440A79"/>
    <w:rsid w:val="00441C44"/>
    <w:rsid w:val="00445372"/>
    <w:rsid w:val="00450A98"/>
    <w:rsid w:val="00452ED3"/>
    <w:rsid w:val="00454C6C"/>
    <w:rsid w:val="00456BE3"/>
    <w:rsid w:val="00483883"/>
    <w:rsid w:val="00484106"/>
    <w:rsid w:val="00486554"/>
    <w:rsid w:val="00492297"/>
    <w:rsid w:val="00493EA0"/>
    <w:rsid w:val="00497008"/>
    <w:rsid w:val="004A6964"/>
    <w:rsid w:val="004B57FD"/>
    <w:rsid w:val="004C3C0B"/>
    <w:rsid w:val="004C667A"/>
    <w:rsid w:val="004D12F7"/>
    <w:rsid w:val="004D7116"/>
    <w:rsid w:val="004E388F"/>
    <w:rsid w:val="004E67AF"/>
    <w:rsid w:val="004F0C4C"/>
    <w:rsid w:val="004F5006"/>
    <w:rsid w:val="004F545A"/>
    <w:rsid w:val="004F5487"/>
    <w:rsid w:val="005109D7"/>
    <w:rsid w:val="00510C2F"/>
    <w:rsid w:val="00515ADA"/>
    <w:rsid w:val="0051702A"/>
    <w:rsid w:val="00517E44"/>
    <w:rsid w:val="00520B9A"/>
    <w:rsid w:val="00544D1D"/>
    <w:rsid w:val="0055791C"/>
    <w:rsid w:val="00560678"/>
    <w:rsid w:val="00575540"/>
    <w:rsid w:val="0057731F"/>
    <w:rsid w:val="00577AF2"/>
    <w:rsid w:val="00584735"/>
    <w:rsid w:val="00586281"/>
    <w:rsid w:val="005A0742"/>
    <w:rsid w:val="005B3AD5"/>
    <w:rsid w:val="005C6937"/>
    <w:rsid w:val="005E666A"/>
    <w:rsid w:val="005F4DCE"/>
    <w:rsid w:val="00606471"/>
    <w:rsid w:val="00606B21"/>
    <w:rsid w:val="006114A1"/>
    <w:rsid w:val="0061274D"/>
    <w:rsid w:val="00627B32"/>
    <w:rsid w:val="00630596"/>
    <w:rsid w:val="0064627F"/>
    <w:rsid w:val="00647084"/>
    <w:rsid w:val="0065295F"/>
    <w:rsid w:val="00653CD6"/>
    <w:rsid w:val="00654709"/>
    <w:rsid w:val="00655BA4"/>
    <w:rsid w:val="0065693C"/>
    <w:rsid w:val="006604FC"/>
    <w:rsid w:val="006709C0"/>
    <w:rsid w:val="00674D17"/>
    <w:rsid w:val="00677B3C"/>
    <w:rsid w:val="00677BA1"/>
    <w:rsid w:val="00680752"/>
    <w:rsid w:val="00681004"/>
    <w:rsid w:val="006878A7"/>
    <w:rsid w:val="00691458"/>
    <w:rsid w:val="0069146D"/>
    <w:rsid w:val="00693BCE"/>
    <w:rsid w:val="00696BAA"/>
    <w:rsid w:val="006A0524"/>
    <w:rsid w:val="006A6709"/>
    <w:rsid w:val="006A7628"/>
    <w:rsid w:val="006B6B3B"/>
    <w:rsid w:val="006B6D63"/>
    <w:rsid w:val="006C2CF6"/>
    <w:rsid w:val="006E395F"/>
    <w:rsid w:val="006E4F0E"/>
    <w:rsid w:val="006E69B7"/>
    <w:rsid w:val="006E6CDA"/>
    <w:rsid w:val="006F3737"/>
    <w:rsid w:val="006F4587"/>
    <w:rsid w:val="00700B74"/>
    <w:rsid w:val="0070287A"/>
    <w:rsid w:val="0071177E"/>
    <w:rsid w:val="007135C3"/>
    <w:rsid w:val="00713E9F"/>
    <w:rsid w:val="00715130"/>
    <w:rsid w:val="00716476"/>
    <w:rsid w:val="00717AD2"/>
    <w:rsid w:val="00722727"/>
    <w:rsid w:val="007329BD"/>
    <w:rsid w:val="00734E29"/>
    <w:rsid w:val="00743DD5"/>
    <w:rsid w:val="00746368"/>
    <w:rsid w:val="0075050D"/>
    <w:rsid w:val="00753C62"/>
    <w:rsid w:val="00757235"/>
    <w:rsid w:val="00757A12"/>
    <w:rsid w:val="0076017C"/>
    <w:rsid w:val="0077119C"/>
    <w:rsid w:val="007847E7"/>
    <w:rsid w:val="007924CD"/>
    <w:rsid w:val="007939C6"/>
    <w:rsid w:val="007952D4"/>
    <w:rsid w:val="00797B38"/>
    <w:rsid w:val="007A6873"/>
    <w:rsid w:val="007B279E"/>
    <w:rsid w:val="007B55E5"/>
    <w:rsid w:val="007B5E11"/>
    <w:rsid w:val="007C3214"/>
    <w:rsid w:val="007D108E"/>
    <w:rsid w:val="00814A89"/>
    <w:rsid w:val="008174A9"/>
    <w:rsid w:val="00821692"/>
    <w:rsid w:val="00822699"/>
    <w:rsid w:val="008319C2"/>
    <w:rsid w:val="00834454"/>
    <w:rsid w:val="00850A93"/>
    <w:rsid w:val="00850D9C"/>
    <w:rsid w:val="00852D89"/>
    <w:rsid w:val="00853F56"/>
    <w:rsid w:val="0085711C"/>
    <w:rsid w:val="008648D2"/>
    <w:rsid w:val="00866063"/>
    <w:rsid w:val="00866D92"/>
    <w:rsid w:val="0087186F"/>
    <w:rsid w:val="008734B1"/>
    <w:rsid w:val="00882DB8"/>
    <w:rsid w:val="008855E3"/>
    <w:rsid w:val="008903D5"/>
    <w:rsid w:val="00893DD5"/>
    <w:rsid w:val="008A3150"/>
    <w:rsid w:val="008A35AB"/>
    <w:rsid w:val="008B2CAE"/>
    <w:rsid w:val="008B7858"/>
    <w:rsid w:val="008D1C39"/>
    <w:rsid w:val="008D71F6"/>
    <w:rsid w:val="008E348E"/>
    <w:rsid w:val="008E3F5C"/>
    <w:rsid w:val="008E7414"/>
    <w:rsid w:val="008F19E0"/>
    <w:rsid w:val="008F3DD3"/>
    <w:rsid w:val="00910682"/>
    <w:rsid w:val="00920D76"/>
    <w:rsid w:val="009215C9"/>
    <w:rsid w:val="00923528"/>
    <w:rsid w:val="00933D72"/>
    <w:rsid w:val="00935017"/>
    <w:rsid w:val="009405A1"/>
    <w:rsid w:val="00946C26"/>
    <w:rsid w:val="00954884"/>
    <w:rsid w:val="00964807"/>
    <w:rsid w:val="00965F63"/>
    <w:rsid w:val="0097285D"/>
    <w:rsid w:val="00981CE7"/>
    <w:rsid w:val="00982859"/>
    <w:rsid w:val="0098486F"/>
    <w:rsid w:val="00991AC2"/>
    <w:rsid w:val="00992DE0"/>
    <w:rsid w:val="009932A3"/>
    <w:rsid w:val="009941E5"/>
    <w:rsid w:val="009A0109"/>
    <w:rsid w:val="009A0B3C"/>
    <w:rsid w:val="009C07EC"/>
    <w:rsid w:val="009C5BC5"/>
    <w:rsid w:val="009C7F9E"/>
    <w:rsid w:val="009D1594"/>
    <w:rsid w:val="009D24B9"/>
    <w:rsid w:val="009E0D71"/>
    <w:rsid w:val="009E4DFB"/>
    <w:rsid w:val="00A12CF1"/>
    <w:rsid w:val="00A249F8"/>
    <w:rsid w:val="00A25FF7"/>
    <w:rsid w:val="00A334E0"/>
    <w:rsid w:val="00A335E6"/>
    <w:rsid w:val="00A34844"/>
    <w:rsid w:val="00A37115"/>
    <w:rsid w:val="00A54A42"/>
    <w:rsid w:val="00A55CCD"/>
    <w:rsid w:val="00A56F95"/>
    <w:rsid w:val="00A60C77"/>
    <w:rsid w:val="00A613AA"/>
    <w:rsid w:val="00A74F0E"/>
    <w:rsid w:val="00A7685B"/>
    <w:rsid w:val="00A82DAC"/>
    <w:rsid w:val="00A869BC"/>
    <w:rsid w:val="00A87C0D"/>
    <w:rsid w:val="00A976B3"/>
    <w:rsid w:val="00AA3D00"/>
    <w:rsid w:val="00AA4666"/>
    <w:rsid w:val="00AB36AC"/>
    <w:rsid w:val="00AC3EAB"/>
    <w:rsid w:val="00AC621E"/>
    <w:rsid w:val="00AE0600"/>
    <w:rsid w:val="00AE3135"/>
    <w:rsid w:val="00AE7C62"/>
    <w:rsid w:val="00AF0720"/>
    <w:rsid w:val="00AF31A9"/>
    <w:rsid w:val="00AF5358"/>
    <w:rsid w:val="00AF5618"/>
    <w:rsid w:val="00B03280"/>
    <w:rsid w:val="00B04C25"/>
    <w:rsid w:val="00B04EAE"/>
    <w:rsid w:val="00B13AFA"/>
    <w:rsid w:val="00B155F5"/>
    <w:rsid w:val="00B17F3F"/>
    <w:rsid w:val="00B23766"/>
    <w:rsid w:val="00B249FA"/>
    <w:rsid w:val="00B343FB"/>
    <w:rsid w:val="00B356BA"/>
    <w:rsid w:val="00B358EC"/>
    <w:rsid w:val="00B36AC1"/>
    <w:rsid w:val="00B371B1"/>
    <w:rsid w:val="00B43297"/>
    <w:rsid w:val="00B61A5C"/>
    <w:rsid w:val="00B62254"/>
    <w:rsid w:val="00B6411B"/>
    <w:rsid w:val="00B70D44"/>
    <w:rsid w:val="00B83C20"/>
    <w:rsid w:val="00B965E4"/>
    <w:rsid w:val="00B968A0"/>
    <w:rsid w:val="00BB0033"/>
    <w:rsid w:val="00BB1986"/>
    <w:rsid w:val="00BC19F4"/>
    <w:rsid w:val="00BC6772"/>
    <w:rsid w:val="00BC77E7"/>
    <w:rsid w:val="00BC7CC6"/>
    <w:rsid w:val="00BD5020"/>
    <w:rsid w:val="00BD6465"/>
    <w:rsid w:val="00BD6C4A"/>
    <w:rsid w:val="00BF0F81"/>
    <w:rsid w:val="00BF382B"/>
    <w:rsid w:val="00BF5E83"/>
    <w:rsid w:val="00C05521"/>
    <w:rsid w:val="00C06E96"/>
    <w:rsid w:val="00C12C7A"/>
    <w:rsid w:val="00C15288"/>
    <w:rsid w:val="00C16267"/>
    <w:rsid w:val="00C22D51"/>
    <w:rsid w:val="00C2736F"/>
    <w:rsid w:val="00C412AC"/>
    <w:rsid w:val="00C51E26"/>
    <w:rsid w:val="00C56778"/>
    <w:rsid w:val="00C57E65"/>
    <w:rsid w:val="00C725A3"/>
    <w:rsid w:val="00C732C0"/>
    <w:rsid w:val="00C77D40"/>
    <w:rsid w:val="00C80B43"/>
    <w:rsid w:val="00C91938"/>
    <w:rsid w:val="00C923C6"/>
    <w:rsid w:val="00C95CD3"/>
    <w:rsid w:val="00CA262B"/>
    <w:rsid w:val="00CB1943"/>
    <w:rsid w:val="00CB2493"/>
    <w:rsid w:val="00CC1532"/>
    <w:rsid w:val="00CC58C0"/>
    <w:rsid w:val="00CC6C1D"/>
    <w:rsid w:val="00CC7446"/>
    <w:rsid w:val="00CE10AD"/>
    <w:rsid w:val="00CE3969"/>
    <w:rsid w:val="00CE59C5"/>
    <w:rsid w:val="00CF77A3"/>
    <w:rsid w:val="00D01F5B"/>
    <w:rsid w:val="00D11BEF"/>
    <w:rsid w:val="00D13D37"/>
    <w:rsid w:val="00D20B64"/>
    <w:rsid w:val="00D37DE4"/>
    <w:rsid w:val="00D403E6"/>
    <w:rsid w:val="00D4600C"/>
    <w:rsid w:val="00D4639D"/>
    <w:rsid w:val="00D51CDF"/>
    <w:rsid w:val="00D57A34"/>
    <w:rsid w:val="00D63117"/>
    <w:rsid w:val="00D6337E"/>
    <w:rsid w:val="00D63853"/>
    <w:rsid w:val="00D67808"/>
    <w:rsid w:val="00D766B0"/>
    <w:rsid w:val="00D807E3"/>
    <w:rsid w:val="00D820E1"/>
    <w:rsid w:val="00D83B61"/>
    <w:rsid w:val="00D97860"/>
    <w:rsid w:val="00DA1AAB"/>
    <w:rsid w:val="00DA3628"/>
    <w:rsid w:val="00DA6A13"/>
    <w:rsid w:val="00DA7D80"/>
    <w:rsid w:val="00DB21C7"/>
    <w:rsid w:val="00DB50F1"/>
    <w:rsid w:val="00DB6502"/>
    <w:rsid w:val="00DC2193"/>
    <w:rsid w:val="00DC45F3"/>
    <w:rsid w:val="00DE3492"/>
    <w:rsid w:val="00DE3D2D"/>
    <w:rsid w:val="00DE4AD6"/>
    <w:rsid w:val="00E0074D"/>
    <w:rsid w:val="00E00EBF"/>
    <w:rsid w:val="00E04BE2"/>
    <w:rsid w:val="00E1280F"/>
    <w:rsid w:val="00E208BC"/>
    <w:rsid w:val="00E2631D"/>
    <w:rsid w:val="00E3727C"/>
    <w:rsid w:val="00E40D17"/>
    <w:rsid w:val="00E516BA"/>
    <w:rsid w:val="00E52527"/>
    <w:rsid w:val="00E56AAE"/>
    <w:rsid w:val="00E5786E"/>
    <w:rsid w:val="00E61795"/>
    <w:rsid w:val="00E6654A"/>
    <w:rsid w:val="00E737CC"/>
    <w:rsid w:val="00E8718C"/>
    <w:rsid w:val="00E87FF7"/>
    <w:rsid w:val="00E91995"/>
    <w:rsid w:val="00EA1BB7"/>
    <w:rsid w:val="00EA33B6"/>
    <w:rsid w:val="00EB294C"/>
    <w:rsid w:val="00EB72B2"/>
    <w:rsid w:val="00EC3019"/>
    <w:rsid w:val="00EC62A6"/>
    <w:rsid w:val="00ED48A3"/>
    <w:rsid w:val="00ED55CD"/>
    <w:rsid w:val="00ED57B5"/>
    <w:rsid w:val="00EF17A9"/>
    <w:rsid w:val="00EF74C8"/>
    <w:rsid w:val="00F0651A"/>
    <w:rsid w:val="00F06F88"/>
    <w:rsid w:val="00F152EA"/>
    <w:rsid w:val="00F2600C"/>
    <w:rsid w:val="00F51870"/>
    <w:rsid w:val="00F6672E"/>
    <w:rsid w:val="00F7108D"/>
    <w:rsid w:val="00F75591"/>
    <w:rsid w:val="00F771C3"/>
    <w:rsid w:val="00F82142"/>
    <w:rsid w:val="00F846AD"/>
    <w:rsid w:val="00F84F2A"/>
    <w:rsid w:val="00F90C39"/>
    <w:rsid w:val="00F92505"/>
    <w:rsid w:val="00F938B4"/>
    <w:rsid w:val="00F9569D"/>
    <w:rsid w:val="00FC2290"/>
    <w:rsid w:val="00FD5083"/>
    <w:rsid w:val="00FE3940"/>
    <w:rsid w:val="012068DC"/>
    <w:rsid w:val="013A4C29"/>
    <w:rsid w:val="015B2A58"/>
    <w:rsid w:val="019A5C92"/>
    <w:rsid w:val="019B5F32"/>
    <w:rsid w:val="02287823"/>
    <w:rsid w:val="02326179"/>
    <w:rsid w:val="02816F6D"/>
    <w:rsid w:val="02A11A74"/>
    <w:rsid w:val="02D42CE7"/>
    <w:rsid w:val="02F328D2"/>
    <w:rsid w:val="0305689B"/>
    <w:rsid w:val="032B2885"/>
    <w:rsid w:val="0336416C"/>
    <w:rsid w:val="035720DB"/>
    <w:rsid w:val="03F11259"/>
    <w:rsid w:val="044626C6"/>
    <w:rsid w:val="04A22688"/>
    <w:rsid w:val="050B19EA"/>
    <w:rsid w:val="054C3FA1"/>
    <w:rsid w:val="056E02C2"/>
    <w:rsid w:val="05786B12"/>
    <w:rsid w:val="057D7DAE"/>
    <w:rsid w:val="05AC0E53"/>
    <w:rsid w:val="05C14E02"/>
    <w:rsid w:val="05D7365E"/>
    <w:rsid w:val="05F637B3"/>
    <w:rsid w:val="064F7497"/>
    <w:rsid w:val="066140B5"/>
    <w:rsid w:val="067318BF"/>
    <w:rsid w:val="068D2973"/>
    <w:rsid w:val="06C4658A"/>
    <w:rsid w:val="06EE45A0"/>
    <w:rsid w:val="070E3CC6"/>
    <w:rsid w:val="076E33CC"/>
    <w:rsid w:val="077F1A41"/>
    <w:rsid w:val="08094916"/>
    <w:rsid w:val="08525320"/>
    <w:rsid w:val="08553DE1"/>
    <w:rsid w:val="08590A19"/>
    <w:rsid w:val="08AD3D75"/>
    <w:rsid w:val="08C00724"/>
    <w:rsid w:val="08E07EAE"/>
    <w:rsid w:val="08EC40C6"/>
    <w:rsid w:val="08EC4D2C"/>
    <w:rsid w:val="0A115355"/>
    <w:rsid w:val="0A17263F"/>
    <w:rsid w:val="0A3124AF"/>
    <w:rsid w:val="0A60265A"/>
    <w:rsid w:val="0ABF522B"/>
    <w:rsid w:val="0AE126B1"/>
    <w:rsid w:val="0AE53521"/>
    <w:rsid w:val="0B107766"/>
    <w:rsid w:val="0B16329C"/>
    <w:rsid w:val="0B6C65F3"/>
    <w:rsid w:val="0BDB6BE3"/>
    <w:rsid w:val="0C6C257B"/>
    <w:rsid w:val="0CC30D7B"/>
    <w:rsid w:val="0CD93954"/>
    <w:rsid w:val="0CDD13E8"/>
    <w:rsid w:val="0D057F1B"/>
    <w:rsid w:val="0D0858E5"/>
    <w:rsid w:val="0D7D6A23"/>
    <w:rsid w:val="0DC202A2"/>
    <w:rsid w:val="0DDB6CB5"/>
    <w:rsid w:val="0DE52196"/>
    <w:rsid w:val="0E046C58"/>
    <w:rsid w:val="0E08768F"/>
    <w:rsid w:val="0E2B2CBE"/>
    <w:rsid w:val="0E6F32B6"/>
    <w:rsid w:val="0E860F42"/>
    <w:rsid w:val="0E8C34CC"/>
    <w:rsid w:val="0EB12D6B"/>
    <w:rsid w:val="0EFF3378"/>
    <w:rsid w:val="0F107C30"/>
    <w:rsid w:val="0F206345"/>
    <w:rsid w:val="0F231C09"/>
    <w:rsid w:val="0F2D39C8"/>
    <w:rsid w:val="0FB20604"/>
    <w:rsid w:val="0FCE0F94"/>
    <w:rsid w:val="0FFB700C"/>
    <w:rsid w:val="0FFEC43F"/>
    <w:rsid w:val="10367805"/>
    <w:rsid w:val="10887A7A"/>
    <w:rsid w:val="108A7D44"/>
    <w:rsid w:val="109C0216"/>
    <w:rsid w:val="110F4178"/>
    <w:rsid w:val="112C5F44"/>
    <w:rsid w:val="11442CFD"/>
    <w:rsid w:val="11581D14"/>
    <w:rsid w:val="11940CDB"/>
    <w:rsid w:val="119B6533"/>
    <w:rsid w:val="11E565F9"/>
    <w:rsid w:val="11EA6337"/>
    <w:rsid w:val="11F91E5B"/>
    <w:rsid w:val="12427BE1"/>
    <w:rsid w:val="1244091C"/>
    <w:rsid w:val="12954E57"/>
    <w:rsid w:val="12956ADB"/>
    <w:rsid w:val="12C37CD0"/>
    <w:rsid w:val="12E175BD"/>
    <w:rsid w:val="12FD05BC"/>
    <w:rsid w:val="13226A86"/>
    <w:rsid w:val="132624CF"/>
    <w:rsid w:val="138C7E28"/>
    <w:rsid w:val="138D53A2"/>
    <w:rsid w:val="13B74615"/>
    <w:rsid w:val="13E149B3"/>
    <w:rsid w:val="14186859"/>
    <w:rsid w:val="14673A00"/>
    <w:rsid w:val="14970BA7"/>
    <w:rsid w:val="14D65310"/>
    <w:rsid w:val="14EA6921"/>
    <w:rsid w:val="15336F17"/>
    <w:rsid w:val="15934032"/>
    <w:rsid w:val="15B92963"/>
    <w:rsid w:val="160E112B"/>
    <w:rsid w:val="16805704"/>
    <w:rsid w:val="1684092B"/>
    <w:rsid w:val="169A0E10"/>
    <w:rsid w:val="16DE081F"/>
    <w:rsid w:val="16EF5144"/>
    <w:rsid w:val="17454E43"/>
    <w:rsid w:val="1765695E"/>
    <w:rsid w:val="17CC16B9"/>
    <w:rsid w:val="17DF855E"/>
    <w:rsid w:val="17E56C78"/>
    <w:rsid w:val="17ED5281"/>
    <w:rsid w:val="17F65CB2"/>
    <w:rsid w:val="18130842"/>
    <w:rsid w:val="18260D3F"/>
    <w:rsid w:val="18721C8E"/>
    <w:rsid w:val="18967715"/>
    <w:rsid w:val="18B52E6B"/>
    <w:rsid w:val="190926D9"/>
    <w:rsid w:val="19207035"/>
    <w:rsid w:val="19283941"/>
    <w:rsid w:val="19A30D92"/>
    <w:rsid w:val="1A0E2858"/>
    <w:rsid w:val="1A276A12"/>
    <w:rsid w:val="1A62640E"/>
    <w:rsid w:val="1A8A12D3"/>
    <w:rsid w:val="1ABB45EE"/>
    <w:rsid w:val="1ADBD9CE"/>
    <w:rsid w:val="1B591BF9"/>
    <w:rsid w:val="1B71509C"/>
    <w:rsid w:val="1B8E37BF"/>
    <w:rsid w:val="1B9A37A8"/>
    <w:rsid w:val="1BB43742"/>
    <w:rsid w:val="1BCA752D"/>
    <w:rsid w:val="1BEF401A"/>
    <w:rsid w:val="1BFD18EC"/>
    <w:rsid w:val="1C06586F"/>
    <w:rsid w:val="1C3A2D16"/>
    <w:rsid w:val="1C40621C"/>
    <w:rsid w:val="1C552442"/>
    <w:rsid w:val="1C5A04B9"/>
    <w:rsid w:val="1C8D2031"/>
    <w:rsid w:val="1CE407B5"/>
    <w:rsid w:val="1CE7340E"/>
    <w:rsid w:val="1D6087A5"/>
    <w:rsid w:val="1D6E7C24"/>
    <w:rsid w:val="1D8806F3"/>
    <w:rsid w:val="1D9D4A83"/>
    <w:rsid w:val="1DC26926"/>
    <w:rsid w:val="1DD04183"/>
    <w:rsid w:val="1E1B7086"/>
    <w:rsid w:val="1E224DCB"/>
    <w:rsid w:val="1E4B3009"/>
    <w:rsid w:val="1E863058"/>
    <w:rsid w:val="1EA7DE26"/>
    <w:rsid w:val="1ED22D65"/>
    <w:rsid w:val="1EDD0DF2"/>
    <w:rsid w:val="1EFF678F"/>
    <w:rsid w:val="1F50656B"/>
    <w:rsid w:val="1FBE3AD5"/>
    <w:rsid w:val="1FD35336"/>
    <w:rsid w:val="1FEE50B5"/>
    <w:rsid w:val="20517A31"/>
    <w:rsid w:val="20653F23"/>
    <w:rsid w:val="206D7709"/>
    <w:rsid w:val="209713EC"/>
    <w:rsid w:val="209B2AD5"/>
    <w:rsid w:val="209E4621"/>
    <w:rsid w:val="20AC26E2"/>
    <w:rsid w:val="214909CD"/>
    <w:rsid w:val="21687575"/>
    <w:rsid w:val="22326B4E"/>
    <w:rsid w:val="22824CEB"/>
    <w:rsid w:val="22BA60B9"/>
    <w:rsid w:val="22CFB141"/>
    <w:rsid w:val="23123160"/>
    <w:rsid w:val="231C41BC"/>
    <w:rsid w:val="23345D5E"/>
    <w:rsid w:val="23375CB5"/>
    <w:rsid w:val="23714FBF"/>
    <w:rsid w:val="238962D6"/>
    <w:rsid w:val="23BB7C29"/>
    <w:rsid w:val="24521524"/>
    <w:rsid w:val="24567326"/>
    <w:rsid w:val="24AD7C07"/>
    <w:rsid w:val="24E15F05"/>
    <w:rsid w:val="251804B1"/>
    <w:rsid w:val="25194AEC"/>
    <w:rsid w:val="257C03C2"/>
    <w:rsid w:val="25C12A5E"/>
    <w:rsid w:val="26191F4D"/>
    <w:rsid w:val="261F140C"/>
    <w:rsid w:val="263A0A57"/>
    <w:rsid w:val="263A76E0"/>
    <w:rsid w:val="263D4F72"/>
    <w:rsid w:val="266D6BD6"/>
    <w:rsid w:val="267740F0"/>
    <w:rsid w:val="268D37D5"/>
    <w:rsid w:val="272B4D52"/>
    <w:rsid w:val="276C5569"/>
    <w:rsid w:val="27874BC5"/>
    <w:rsid w:val="27986F4F"/>
    <w:rsid w:val="27DC1417"/>
    <w:rsid w:val="27EE64C4"/>
    <w:rsid w:val="288D09C9"/>
    <w:rsid w:val="28BE108D"/>
    <w:rsid w:val="28CF235E"/>
    <w:rsid w:val="28D246BD"/>
    <w:rsid w:val="29246D16"/>
    <w:rsid w:val="29B2188B"/>
    <w:rsid w:val="29B760BD"/>
    <w:rsid w:val="2A12419D"/>
    <w:rsid w:val="2A8C04A1"/>
    <w:rsid w:val="2A9F1EA2"/>
    <w:rsid w:val="2AA44936"/>
    <w:rsid w:val="2ADE78BD"/>
    <w:rsid w:val="2AE403A5"/>
    <w:rsid w:val="2B7FD29C"/>
    <w:rsid w:val="2B8A7A8C"/>
    <w:rsid w:val="2BDA3477"/>
    <w:rsid w:val="2BFF0049"/>
    <w:rsid w:val="2C451EAF"/>
    <w:rsid w:val="2C964526"/>
    <w:rsid w:val="2CA25B63"/>
    <w:rsid w:val="2CBF33FB"/>
    <w:rsid w:val="2CCB6219"/>
    <w:rsid w:val="2D1361F3"/>
    <w:rsid w:val="2D196EF8"/>
    <w:rsid w:val="2D2C6899"/>
    <w:rsid w:val="2D436AF5"/>
    <w:rsid w:val="2D6D3B3C"/>
    <w:rsid w:val="2D8A1BD9"/>
    <w:rsid w:val="2DDF0C3C"/>
    <w:rsid w:val="2DE3371C"/>
    <w:rsid w:val="2E142791"/>
    <w:rsid w:val="2E5C653D"/>
    <w:rsid w:val="2E7F413E"/>
    <w:rsid w:val="2E837916"/>
    <w:rsid w:val="2ED24FAB"/>
    <w:rsid w:val="2EEA6DC9"/>
    <w:rsid w:val="2EF16139"/>
    <w:rsid w:val="2EFA3FA5"/>
    <w:rsid w:val="2EFE887A"/>
    <w:rsid w:val="2F49380D"/>
    <w:rsid w:val="2F57F67F"/>
    <w:rsid w:val="2F6D720A"/>
    <w:rsid w:val="2F774FD0"/>
    <w:rsid w:val="2F7FCA37"/>
    <w:rsid w:val="2F803A33"/>
    <w:rsid w:val="2F8B0801"/>
    <w:rsid w:val="2F93289C"/>
    <w:rsid w:val="2FCEE516"/>
    <w:rsid w:val="2FD619C4"/>
    <w:rsid w:val="2FD7B665"/>
    <w:rsid w:val="2FFDB4B8"/>
    <w:rsid w:val="2FFE9E32"/>
    <w:rsid w:val="30792C63"/>
    <w:rsid w:val="30BF6E49"/>
    <w:rsid w:val="30DF76ED"/>
    <w:rsid w:val="311D5876"/>
    <w:rsid w:val="316E5399"/>
    <w:rsid w:val="31942C1F"/>
    <w:rsid w:val="31B02A6F"/>
    <w:rsid w:val="31C51EA3"/>
    <w:rsid w:val="31E817F0"/>
    <w:rsid w:val="31F7308B"/>
    <w:rsid w:val="32484E73"/>
    <w:rsid w:val="324C18FD"/>
    <w:rsid w:val="326236E0"/>
    <w:rsid w:val="32836814"/>
    <w:rsid w:val="32A150BA"/>
    <w:rsid w:val="332042A9"/>
    <w:rsid w:val="333937E3"/>
    <w:rsid w:val="335C4FBB"/>
    <w:rsid w:val="339D0898"/>
    <w:rsid w:val="33E40539"/>
    <w:rsid w:val="33E84753"/>
    <w:rsid w:val="344443E7"/>
    <w:rsid w:val="349440F1"/>
    <w:rsid w:val="34AD7A49"/>
    <w:rsid w:val="34D50C70"/>
    <w:rsid w:val="35225817"/>
    <w:rsid w:val="35470C59"/>
    <w:rsid w:val="35A367B5"/>
    <w:rsid w:val="35CF6CCD"/>
    <w:rsid w:val="35D44DB1"/>
    <w:rsid w:val="35D86090"/>
    <w:rsid w:val="35EF8AAA"/>
    <w:rsid w:val="36002B83"/>
    <w:rsid w:val="36086684"/>
    <w:rsid w:val="36453E35"/>
    <w:rsid w:val="36461CCC"/>
    <w:rsid w:val="369512A0"/>
    <w:rsid w:val="36AA4029"/>
    <w:rsid w:val="37203755"/>
    <w:rsid w:val="374E7049"/>
    <w:rsid w:val="375B03B3"/>
    <w:rsid w:val="37906F3A"/>
    <w:rsid w:val="37D66892"/>
    <w:rsid w:val="37D77140"/>
    <w:rsid w:val="37E9E0AE"/>
    <w:rsid w:val="37F73DDA"/>
    <w:rsid w:val="37FB209B"/>
    <w:rsid w:val="38202434"/>
    <w:rsid w:val="383A146B"/>
    <w:rsid w:val="384C5448"/>
    <w:rsid w:val="385153C7"/>
    <w:rsid w:val="389B1FFB"/>
    <w:rsid w:val="38C45733"/>
    <w:rsid w:val="38DA76A6"/>
    <w:rsid w:val="38F64830"/>
    <w:rsid w:val="395919DD"/>
    <w:rsid w:val="39A82479"/>
    <w:rsid w:val="39C20429"/>
    <w:rsid w:val="39C21120"/>
    <w:rsid w:val="39DDF945"/>
    <w:rsid w:val="39FD5D62"/>
    <w:rsid w:val="3A12155A"/>
    <w:rsid w:val="3A184911"/>
    <w:rsid w:val="3A24193B"/>
    <w:rsid w:val="3A661545"/>
    <w:rsid w:val="3A7E31BF"/>
    <w:rsid w:val="3AAFEBC1"/>
    <w:rsid w:val="3AE15C2A"/>
    <w:rsid w:val="3B0E7770"/>
    <w:rsid w:val="3B752633"/>
    <w:rsid w:val="3B864A79"/>
    <w:rsid w:val="3B9B30B0"/>
    <w:rsid w:val="3BBA1074"/>
    <w:rsid w:val="3BBA54A2"/>
    <w:rsid w:val="3BC94E33"/>
    <w:rsid w:val="3C205D52"/>
    <w:rsid w:val="3C5D635D"/>
    <w:rsid w:val="3C6843AC"/>
    <w:rsid w:val="3C823C30"/>
    <w:rsid w:val="3CD92DC4"/>
    <w:rsid w:val="3CD95CBD"/>
    <w:rsid w:val="3D876A22"/>
    <w:rsid w:val="3DB78741"/>
    <w:rsid w:val="3DFB3A35"/>
    <w:rsid w:val="3E752B92"/>
    <w:rsid w:val="3EAC2897"/>
    <w:rsid w:val="3ED496E2"/>
    <w:rsid w:val="3ED5453E"/>
    <w:rsid w:val="3ED8EBE8"/>
    <w:rsid w:val="3EEAE0CE"/>
    <w:rsid w:val="3EEF9B50"/>
    <w:rsid w:val="3EF6D1E0"/>
    <w:rsid w:val="3EFA3B68"/>
    <w:rsid w:val="3EFED85C"/>
    <w:rsid w:val="3EFF3CBC"/>
    <w:rsid w:val="3EFF9077"/>
    <w:rsid w:val="3F0577BF"/>
    <w:rsid w:val="3F3D7DF0"/>
    <w:rsid w:val="3F3E91D5"/>
    <w:rsid w:val="3F4D1FBF"/>
    <w:rsid w:val="3F4EC682"/>
    <w:rsid w:val="3F6EAFED"/>
    <w:rsid w:val="3F8D06E5"/>
    <w:rsid w:val="3F97E6DE"/>
    <w:rsid w:val="3FA7595A"/>
    <w:rsid w:val="3FB7CCF8"/>
    <w:rsid w:val="3FCE85E8"/>
    <w:rsid w:val="3FDDA8D9"/>
    <w:rsid w:val="3FE7BEB6"/>
    <w:rsid w:val="3FEFE1BA"/>
    <w:rsid w:val="3FFD2B77"/>
    <w:rsid w:val="3FFED686"/>
    <w:rsid w:val="40BA58F0"/>
    <w:rsid w:val="41824983"/>
    <w:rsid w:val="419273A3"/>
    <w:rsid w:val="41D60779"/>
    <w:rsid w:val="41EA33D4"/>
    <w:rsid w:val="425E411F"/>
    <w:rsid w:val="42A4661A"/>
    <w:rsid w:val="43043C43"/>
    <w:rsid w:val="43213FCB"/>
    <w:rsid w:val="43282562"/>
    <w:rsid w:val="434674C6"/>
    <w:rsid w:val="439A28BA"/>
    <w:rsid w:val="43AB1C1C"/>
    <w:rsid w:val="443278A5"/>
    <w:rsid w:val="445A3E9E"/>
    <w:rsid w:val="44BE541F"/>
    <w:rsid w:val="45143CD5"/>
    <w:rsid w:val="4523065D"/>
    <w:rsid w:val="454B5D64"/>
    <w:rsid w:val="459F4581"/>
    <w:rsid w:val="45B11BC1"/>
    <w:rsid w:val="45C55E04"/>
    <w:rsid w:val="45FE3D94"/>
    <w:rsid w:val="46274255"/>
    <w:rsid w:val="4628262E"/>
    <w:rsid w:val="46AA64F1"/>
    <w:rsid w:val="46C4510F"/>
    <w:rsid w:val="46F956A0"/>
    <w:rsid w:val="47416045"/>
    <w:rsid w:val="47624AA6"/>
    <w:rsid w:val="47AE5EA8"/>
    <w:rsid w:val="47E47729"/>
    <w:rsid w:val="47E90F35"/>
    <w:rsid w:val="483259F4"/>
    <w:rsid w:val="486C0DC8"/>
    <w:rsid w:val="48FB174E"/>
    <w:rsid w:val="491479E5"/>
    <w:rsid w:val="493B142F"/>
    <w:rsid w:val="497F56AD"/>
    <w:rsid w:val="498D2DED"/>
    <w:rsid w:val="49966C4E"/>
    <w:rsid w:val="499A0DB5"/>
    <w:rsid w:val="499D4964"/>
    <w:rsid w:val="49B2F93C"/>
    <w:rsid w:val="4A00199F"/>
    <w:rsid w:val="4A6E1366"/>
    <w:rsid w:val="4A7253F8"/>
    <w:rsid w:val="4A816916"/>
    <w:rsid w:val="4A853EBA"/>
    <w:rsid w:val="4AC13D74"/>
    <w:rsid w:val="4AD83A46"/>
    <w:rsid w:val="4AFE75A3"/>
    <w:rsid w:val="4B121ED2"/>
    <w:rsid w:val="4B5353B7"/>
    <w:rsid w:val="4B7B6D55"/>
    <w:rsid w:val="4BA814E0"/>
    <w:rsid w:val="4BBE6F55"/>
    <w:rsid w:val="4BC246E8"/>
    <w:rsid w:val="4BCB0653"/>
    <w:rsid w:val="4BDD7A5F"/>
    <w:rsid w:val="4C1945C0"/>
    <w:rsid w:val="4C3F18EB"/>
    <w:rsid w:val="4CA26164"/>
    <w:rsid w:val="4CB85ED4"/>
    <w:rsid w:val="4CF7220E"/>
    <w:rsid w:val="4D330579"/>
    <w:rsid w:val="4D3B0C43"/>
    <w:rsid w:val="4D516481"/>
    <w:rsid w:val="4D5DF814"/>
    <w:rsid w:val="4D77E4E6"/>
    <w:rsid w:val="4DB85E24"/>
    <w:rsid w:val="4DCB18B3"/>
    <w:rsid w:val="4E086B91"/>
    <w:rsid w:val="4E225A89"/>
    <w:rsid w:val="4E78472B"/>
    <w:rsid w:val="4E94077C"/>
    <w:rsid w:val="4EB11B1C"/>
    <w:rsid w:val="4EBF0D77"/>
    <w:rsid w:val="4EEF4806"/>
    <w:rsid w:val="4EFD5CF0"/>
    <w:rsid w:val="4EFEC471"/>
    <w:rsid w:val="4F046221"/>
    <w:rsid w:val="4F39740C"/>
    <w:rsid w:val="4F69FEEA"/>
    <w:rsid w:val="4F77FF15"/>
    <w:rsid w:val="4F7FD93A"/>
    <w:rsid w:val="4F841056"/>
    <w:rsid w:val="4F8E04D3"/>
    <w:rsid w:val="4FBE7875"/>
    <w:rsid w:val="4FF1CB39"/>
    <w:rsid w:val="4FFB165F"/>
    <w:rsid w:val="4FFF5FBE"/>
    <w:rsid w:val="4FFFEAD4"/>
    <w:rsid w:val="501B0C54"/>
    <w:rsid w:val="507916C7"/>
    <w:rsid w:val="509E50DE"/>
    <w:rsid w:val="50AA399E"/>
    <w:rsid w:val="50C57BB1"/>
    <w:rsid w:val="50F64B80"/>
    <w:rsid w:val="51090644"/>
    <w:rsid w:val="511E2F53"/>
    <w:rsid w:val="51640E62"/>
    <w:rsid w:val="5171547E"/>
    <w:rsid w:val="51790295"/>
    <w:rsid w:val="517F2481"/>
    <w:rsid w:val="520B079D"/>
    <w:rsid w:val="520C7E02"/>
    <w:rsid w:val="52131F7F"/>
    <w:rsid w:val="522B0E4C"/>
    <w:rsid w:val="522C39C3"/>
    <w:rsid w:val="5234280B"/>
    <w:rsid w:val="526E0AF7"/>
    <w:rsid w:val="52F919BE"/>
    <w:rsid w:val="534B3211"/>
    <w:rsid w:val="5353498D"/>
    <w:rsid w:val="53655729"/>
    <w:rsid w:val="53A472F8"/>
    <w:rsid w:val="53AE2415"/>
    <w:rsid w:val="53D720D5"/>
    <w:rsid w:val="53E2242A"/>
    <w:rsid w:val="540B0BCE"/>
    <w:rsid w:val="543F759F"/>
    <w:rsid w:val="544C21B1"/>
    <w:rsid w:val="545057ED"/>
    <w:rsid w:val="545C36D0"/>
    <w:rsid w:val="54803D19"/>
    <w:rsid w:val="548A7F87"/>
    <w:rsid w:val="55253F42"/>
    <w:rsid w:val="553B0FCD"/>
    <w:rsid w:val="557C047E"/>
    <w:rsid w:val="559646EA"/>
    <w:rsid w:val="55B16318"/>
    <w:rsid w:val="55BF3A13"/>
    <w:rsid w:val="55D72885"/>
    <w:rsid w:val="56351D97"/>
    <w:rsid w:val="567B0191"/>
    <w:rsid w:val="56AD17E5"/>
    <w:rsid w:val="56DA2178"/>
    <w:rsid w:val="56EE3E38"/>
    <w:rsid w:val="574E3D06"/>
    <w:rsid w:val="575467B8"/>
    <w:rsid w:val="57B9CB99"/>
    <w:rsid w:val="57BF4928"/>
    <w:rsid w:val="57CD4FCE"/>
    <w:rsid w:val="57E79900"/>
    <w:rsid w:val="57EE5D1B"/>
    <w:rsid w:val="57F90002"/>
    <w:rsid w:val="58054933"/>
    <w:rsid w:val="580A51A0"/>
    <w:rsid w:val="58634812"/>
    <w:rsid w:val="588C073F"/>
    <w:rsid w:val="593173D6"/>
    <w:rsid w:val="599A20FD"/>
    <w:rsid w:val="59AC0FAF"/>
    <w:rsid w:val="59B93FCE"/>
    <w:rsid w:val="59C33955"/>
    <w:rsid w:val="59DFC563"/>
    <w:rsid w:val="59F44746"/>
    <w:rsid w:val="5A3B6D74"/>
    <w:rsid w:val="5A44558A"/>
    <w:rsid w:val="5A5B5324"/>
    <w:rsid w:val="5A8150C6"/>
    <w:rsid w:val="5A827E6E"/>
    <w:rsid w:val="5AA12B28"/>
    <w:rsid w:val="5AA30C1D"/>
    <w:rsid w:val="5AC4427E"/>
    <w:rsid w:val="5AFE9E90"/>
    <w:rsid w:val="5B0E6E73"/>
    <w:rsid w:val="5B301000"/>
    <w:rsid w:val="5B576C22"/>
    <w:rsid w:val="5B5F5F28"/>
    <w:rsid w:val="5B620C0D"/>
    <w:rsid w:val="5B754251"/>
    <w:rsid w:val="5B946BB4"/>
    <w:rsid w:val="5BBFB158"/>
    <w:rsid w:val="5BCD2C72"/>
    <w:rsid w:val="5BCD3F68"/>
    <w:rsid w:val="5BD462C2"/>
    <w:rsid w:val="5BF52287"/>
    <w:rsid w:val="5BF76E2E"/>
    <w:rsid w:val="5BF9E94F"/>
    <w:rsid w:val="5BFCB7B6"/>
    <w:rsid w:val="5BFFD4BA"/>
    <w:rsid w:val="5C0957C0"/>
    <w:rsid w:val="5C1B1060"/>
    <w:rsid w:val="5C3C453C"/>
    <w:rsid w:val="5C7B0AFF"/>
    <w:rsid w:val="5C93768B"/>
    <w:rsid w:val="5C99662F"/>
    <w:rsid w:val="5C9F3645"/>
    <w:rsid w:val="5CB724AC"/>
    <w:rsid w:val="5CDE4235"/>
    <w:rsid w:val="5D9FB510"/>
    <w:rsid w:val="5DA32EA9"/>
    <w:rsid w:val="5DB40721"/>
    <w:rsid w:val="5DBE01DB"/>
    <w:rsid w:val="5DF3B1A0"/>
    <w:rsid w:val="5DF7F95E"/>
    <w:rsid w:val="5E7C433E"/>
    <w:rsid w:val="5E8FFB8B"/>
    <w:rsid w:val="5ECF0397"/>
    <w:rsid w:val="5EECF010"/>
    <w:rsid w:val="5EED681F"/>
    <w:rsid w:val="5EEF1C78"/>
    <w:rsid w:val="5EFA7CCD"/>
    <w:rsid w:val="5EFF29B0"/>
    <w:rsid w:val="5F2E3F78"/>
    <w:rsid w:val="5F341E9E"/>
    <w:rsid w:val="5F7BB86D"/>
    <w:rsid w:val="5F926E3A"/>
    <w:rsid w:val="5F9DC7CE"/>
    <w:rsid w:val="5FAD2622"/>
    <w:rsid w:val="5FBC1D6D"/>
    <w:rsid w:val="5FBDC6DC"/>
    <w:rsid w:val="5FDC2CA4"/>
    <w:rsid w:val="5FE3C118"/>
    <w:rsid w:val="5FE7F33C"/>
    <w:rsid w:val="5FEDBEE4"/>
    <w:rsid w:val="5FEF9793"/>
    <w:rsid w:val="5FF5059C"/>
    <w:rsid w:val="5FF6C151"/>
    <w:rsid w:val="5FFAFE9F"/>
    <w:rsid w:val="5FFDC13D"/>
    <w:rsid w:val="5FFF9C40"/>
    <w:rsid w:val="5FFFE091"/>
    <w:rsid w:val="5FFFF2FB"/>
    <w:rsid w:val="602E70CB"/>
    <w:rsid w:val="60526FC6"/>
    <w:rsid w:val="609D2DEB"/>
    <w:rsid w:val="60D53E08"/>
    <w:rsid w:val="60E07697"/>
    <w:rsid w:val="611A08D8"/>
    <w:rsid w:val="61576807"/>
    <w:rsid w:val="615C6718"/>
    <w:rsid w:val="62B92583"/>
    <w:rsid w:val="62F47820"/>
    <w:rsid w:val="62F779D7"/>
    <w:rsid w:val="63092B54"/>
    <w:rsid w:val="6310725C"/>
    <w:rsid w:val="634112F3"/>
    <w:rsid w:val="63487B44"/>
    <w:rsid w:val="63744EA4"/>
    <w:rsid w:val="6383775E"/>
    <w:rsid w:val="643B223F"/>
    <w:rsid w:val="64786D15"/>
    <w:rsid w:val="64850601"/>
    <w:rsid w:val="64AE6C36"/>
    <w:rsid w:val="64B2601E"/>
    <w:rsid w:val="6501700E"/>
    <w:rsid w:val="655BE48D"/>
    <w:rsid w:val="655E2FD4"/>
    <w:rsid w:val="65624A3A"/>
    <w:rsid w:val="65AD120F"/>
    <w:rsid w:val="65B01722"/>
    <w:rsid w:val="66004B22"/>
    <w:rsid w:val="662609B5"/>
    <w:rsid w:val="666B3313"/>
    <w:rsid w:val="66793755"/>
    <w:rsid w:val="66F736AC"/>
    <w:rsid w:val="670C3D1C"/>
    <w:rsid w:val="670D6DF2"/>
    <w:rsid w:val="671B3212"/>
    <w:rsid w:val="67545C3F"/>
    <w:rsid w:val="677F2A4D"/>
    <w:rsid w:val="677F4E5F"/>
    <w:rsid w:val="67A28B59"/>
    <w:rsid w:val="67A740B3"/>
    <w:rsid w:val="67C647FE"/>
    <w:rsid w:val="67D00796"/>
    <w:rsid w:val="67DE5B2B"/>
    <w:rsid w:val="67EF52F0"/>
    <w:rsid w:val="682664CA"/>
    <w:rsid w:val="68337F29"/>
    <w:rsid w:val="68392E2A"/>
    <w:rsid w:val="68A4357F"/>
    <w:rsid w:val="68A55758"/>
    <w:rsid w:val="68AC50E7"/>
    <w:rsid w:val="68B71D98"/>
    <w:rsid w:val="68F7C469"/>
    <w:rsid w:val="6939B3D4"/>
    <w:rsid w:val="69A837BE"/>
    <w:rsid w:val="69AC1417"/>
    <w:rsid w:val="69B278D9"/>
    <w:rsid w:val="69DE1757"/>
    <w:rsid w:val="69DE92D9"/>
    <w:rsid w:val="69FF0ED5"/>
    <w:rsid w:val="6A0026C3"/>
    <w:rsid w:val="6A03454D"/>
    <w:rsid w:val="6A561E9A"/>
    <w:rsid w:val="6A692DB3"/>
    <w:rsid w:val="6AB24402"/>
    <w:rsid w:val="6AC14FE6"/>
    <w:rsid w:val="6AC61262"/>
    <w:rsid w:val="6AFF2013"/>
    <w:rsid w:val="6B510A5D"/>
    <w:rsid w:val="6B9C4E99"/>
    <w:rsid w:val="6BD41686"/>
    <w:rsid w:val="6BFDFB92"/>
    <w:rsid w:val="6C4C6F56"/>
    <w:rsid w:val="6C7F7266"/>
    <w:rsid w:val="6C89374E"/>
    <w:rsid w:val="6C9A1EC1"/>
    <w:rsid w:val="6CF192E8"/>
    <w:rsid w:val="6CF82726"/>
    <w:rsid w:val="6CFC2F05"/>
    <w:rsid w:val="6D3D4938"/>
    <w:rsid w:val="6D445A59"/>
    <w:rsid w:val="6D570056"/>
    <w:rsid w:val="6D5B6D1A"/>
    <w:rsid w:val="6D6FB71A"/>
    <w:rsid w:val="6D7F60A0"/>
    <w:rsid w:val="6DA579D7"/>
    <w:rsid w:val="6DBE488E"/>
    <w:rsid w:val="6DE41AB9"/>
    <w:rsid w:val="6DED99F7"/>
    <w:rsid w:val="6DF37D70"/>
    <w:rsid w:val="6DF9E57A"/>
    <w:rsid w:val="6DFA11E6"/>
    <w:rsid w:val="6E0A1D7C"/>
    <w:rsid w:val="6E3A63EA"/>
    <w:rsid w:val="6E6F15B7"/>
    <w:rsid w:val="6EA81AE2"/>
    <w:rsid w:val="6EDF23C8"/>
    <w:rsid w:val="6F2C4620"/>
    <w:rsid w:val="6F3F68DE"/>
    <w:rsid w:val="6F43D54B"/>
    <w:rsid w:val="6F6BA444"/>
    <w:rsid w:val="6F7BC5B3"/>
    <w:rsid w:val="6F9018E0"/>
    <w:rsid w:val="6F94468B"/>
    <w:rsid w:val="6FAD1803"/>
    <w:rsid w:val="6FBE4490"/>
    <w:rsid w:val="6FBF66DE"/>
    <w:rsid w:val="6FBFD577"/>
    <w:rsid w:val="6FC8084E"/>
    <w:rsid w:val="6FDFAA0F"/>
    <w:rsid w:val="6FDFFCDF"/>
    <w:rsid w:val="6FFD64DF"/>
    <w:rsid w:val="6FFE0B09"/>
    <w:rsid w:val="6FFEAE72"/>
    <w:rsid w:val="70141037"/>
    <w:rsid w:val="702130B7"/>
    <w:rsid w:val="70294272"/>
    <w:rsid w:val="704D1B7C"/>
    <w:rsid w:val="708B5F11"/>
    <w:rsid w:val="709C4299"/>
    <w:rsid w:val="70A41EEE"/>
    <w:rsid w:val="70A549B5"/>
    <w:rsid w:val="70E51D87"/>
    <w:rsid w:val="70EE2605"/>
    <w:rsid w:val="711968FF"/>
    <w:rsid w:val="711E62D9"/>
    <w:rsid w:val="714416D2"/>
    <w:rsid w:val="71CF8589"/>
    <w:rsid w:val="722901BE"/>
    <w:rsid w:val="725427BF"/>
    <w:rsid w:val="727F0041"/>
    <w:rsid w:val="72E02BD1"/>
    <w:rsid w:val="72F653A4"/>
    <w:rsid w:val="72F933FD"/>
    <w:rsid w:val="72FD542B"/>
    <w:rsid w:val="730B31B8"/>
    <w:rsid w:val="7324089A"/>
    <w:rsid w:val="733E7401"/>
    <w:rsid w:val="73432836"/>
    <w:rsid w:val="735F892F"/>
    <w:rsid w:val="739E215F"/>
    <w:rsid w:val="73B968C8"/>
    <w:rsid w:val="73C5608C"/>
    <w:rsid w:val="73D8234E"/>
    <w:rsid w:val="73FE6D7B"/>
    <w:rsid w:val="74523024"/>
    <w:rsid w:val="7483193C"/>
    <w:rsid w:val="749519B2"/>
    <w:rsid w:val="74973D99"/>
    <w:rsid w:val="74FF9CC9"/>
    <w:rsid w:val="75004EF2"/>
    <w:rsid w:val="75654833"/>
    <w:rsid w:val="7569732D"/>
    <w:rsid w:val="756F28C4"/>
    <w:rsid w:val="758673F5"/>
    <w:rsid w:val="758A2205"/>
    <w:rsid w:val="75B67DEA"/>
    <w:rsid w:val="75F25875"/>
    <w:rsid w:val="75F40EB7"/>
    <w:rsid w:val="7666A729"/>
    <w:rsid w:val="768F11E8"/>
    <w:rsid w:val="769748E9"/>
    <w:rsid w:val="769C2884"/>
    <w:rsid w:val="76A50E2B"/>
    <w:rsid w:val="76BE1F54"/>
    <w:rsid w:val="76BE49B0"/>
    <w:rsid w:val="76BF2C69"/>
    <w:rsid w:val="76F312F9"/>
    <w:rsid w:val="770FC871"/>
    <w:rsid w:val="777C8BBB"/>
    <w:rsid w:val="777F25F2"/>
    <w:rsid w:val="778B2D72"/>
    <w:rsid w:val="778C6751"/>
    <w:rsid w:val="779A01DD"/>
    <w:rsid w:val="77B41275"/>
    <w:rsid w:val="77BB67B1"/>
    <w:rsid w:val="77CDC31E"/>
    <w:rsid w:val="77E374E7"/>
    <w:rsid w:val="77ED49B8"/>
    <w:rsid w:val="77FB441A"/>
    <w:rsid w:val="77FD13ED"/>
    <w:rsid w:val="7812685E"/>
    <w:rsid w:val="78366DBA"/>
    <w:rsid w:val="78557105"/>
    <w:rsid w:val="789A5BE2"/>
    <w:rsid w:val="78A447F5"/>
    <w:rsid w:val="78A74A05"/>
    <w:rsid w:val="78CF79C0"/>
    <w:rsid w:val="79714F65"/>
    <w:rsid w:val="797EDF12"/>
    <w:rsid w:val="797FDE4B"/>
    <w:rsid w:val="799A35BE"/>
    <w:rsid w:val="79E7452A"/>
    <w:rsid w:val="79EF2E5E"/>
    <w:rsid w:val="79FDE427"/>
    <w:rsid w:val="7A4F61C0"/>
    <w:rsid w:val="7A5B146A"/>
    <w:rsid w:val="7A5B6295"/>
    <w:rsid w:val="7A5EA07D"/>
    <w:rsid w:val="7A6A6F93"/>
    <w:rsid w:val="7A7923FB"/>
    <w:rsid w:val="7A7D23DF"/>
    <w:rsid w:val="7AE27012"/>
    <w:rsid w:val="7AE27D44"/>
    <w:rsid w:val="7AF7502C"/>
    <w:rsid w:val="7AFD75D5"/>
    <w:rsid w:val="7AFF3CF9"/>
    <w:rsid w:val="7AFFC1DC"/>
    <w:rsid w:val="7B0DCD8E"/>
    <w:rsid w:val="7B1768E1"/>
    <w:rsid w:val="7B2340F4"/>
    <w:rsid w:val="7B39EBBA"/>
    <w:rsid w:val="7B7F2455"/>
    <w:rsid w:val="7BA54EF5"/>
    <w:rsid w:val="7BAFE489"/>
    <w:rsid w:val="7BB5CAD9"/>
    <w:rsid w:val="7BB7BF73"/>
    <w:rsid w:val="7BD71E82"/>
    <w:rsid w:val="7BD75FF5"/>
    <w:rsid w:val="7BE07126"/>
    <w:rsid w:val="7BE934CA"/>
    <w:rsid w:val="7BF74D1B"/>
    <w:rsid w:val="7BFDE635"/>
    <w:rsid w:val="7BFF09B3"/>
    <w:rsid w:val="7BFF7E55"/>
    <w:rsid w:val="7BFFA655"/>
    <w:rsid w:val="7BFFF61F"/>
    <w:rsid w:val="7C6F6947"/>
    <w:rsid w:val="7C6FCF31"/>
    <w:rsid w:val="7C9B7D31"/>
    <w:rsid w:val="7CAF7D40"/>
    <w:rsid w:val="7CB81578"/>
    <w:rsid w:val="7CBB4EDB"/>
    <w:rsid w:val="7CBBC38B"/>
    <w:rsid w:val="7CDC1A6B"/>
    <w:rsid w:val="7CF412CA"/>
    <w:rsid w:val="7CF6D242"/>
    <w:rsid w:val="7CFC9DB5"/>
    <w:rsid w:val="7D1C0641"/>
    <w:rsid w:val="7D4D66FA"/>
    <w:rsid w:val="7D806E28"/>
    <w:rsid w:val="7D9716CD"/>
    <w:rsid w:val="7D97427E"/>
    <w:rsid w:val="7DB740E1"/>
    <w:rsid w:val="7DD595F0"/>
    <w:rsid w:val="7DDF5884"/>
    <w:rsid w:val="7DEFD99E"/>
    <w:rsid w:val="7DF22640"/>
    <w:rsid w:val="7DFFF8B9"/>
    <w:rsid w:val="7DFFFB51"/>
    <w:rsid w:val="7E2539DA"/>
    <w:rsid w:val="7E4945F3"/>
    <w:rsid w:val="7E4B0A98"/>
    <w:rsid w:val="7E517E9B"/>
    <w:rsid w:val="7E6C0A82"/>
    <w:rsid w:val="7E7F3F92"/>
    <w:rsid w:val="7E827324"/>
    <w:rsid w:val="7E9372EC"/>
    <w:rsid w:val="7E965477"/>
    <w:rsid w:val="7E9CDDEF"/>
    <w:rsid w:val="7EAEE942"/>
    <w:rsid w:val="7EAF0F12"/>
    <w:rsid w:val="7EB80651"/>
    <w:rsid w:val="7EBA3DAC"/>
    <w:rsid w:val="7EBECD5B"/>
    <w:rsid w:val="7EBF741F"/>
    <w:rsid w:val="7EBFEC2B"/>
    <w:rsid w:val="7EDF15EA"/>
    <w:rsid w:val="7EEE9FD7"/>
    <w:rsid w:val="7EEFAB6D"/>
    <w:rsid w:val="7EFF47B4"/>
    <w:rsid w:val="7EFFDAD8"/>
    <w:rsid w:val="7EFFF6E5"/>
    <w:rsid w:val="7F27D467"/>
    <w:rsid w:val="7F2C25A3"/>
    <w:rsid w:val="7F49A106"/>
    <w:rsid w:val="7F4F2995"/>
    <w:rsid w:val="7F55401F"/>
    <w:rsid w:val="7F5FDFE0"/>
    <w:rsid w:val="7F73699F"/>
    <w:rsid w:val="7F770ABF"/>
    <w:rsid w:val="7F773B85"/>
    <w:rsid w:val="7F78730F"/>
    <w:rsid w:val="7F7FA390"/>
    <w:rsid w:val="7F861DDC"/>
    <w:rsid w:val="7F9E6749"/>
    <w:rsid w:val="7FB33F0C"/>
    <w:rsid w:val="7FB63FAC"/>
    <w:rsid w:val="7FBDD460"/>
    <w:rsid w:val="7FBFB20B"/>
    <w:rsid w:val="7FBFD602"/>
    <w:rsid w:val="7FCEC8C2"/>
    <w:rsid w:val="7FE08771"/>
    <w:rsid w:val="7FE693DF"/>
    <w:rsid w:val="7FE76444"/>
    <w:rsid w:val="7FEF5977"/>
    <w:rsid w:val="7FEF646E"/>
    <w:rsid w:val="7FEF981D"/>
    <w:rsid w:val="7FF3A578"/>
    <w:rsid w:val="7FF3BFBD"/>
    <w:rsid w:val="7FF5D5DB"/>
    <w:rsid w:val="7FF6AF7E"/>
    <w:rsid w:val="7FFA2A6C"/>
    <w:rsid w:val="7FFB60AA"/>
    <w:rsid w:val="7FFBD7F0"/>
    <w:rsid w:val="7FFD92D1"/>
    <w:rsid w:val="7FFD9CED"/>
    <w:rsid w:val="7FFF1E15"/>
    <w:rsid w:val="817F95E3"/>
    <w:rsid w:val="855A9F87"/>
    <w:rsid w:val="94BA694E"/>
    <w:rsid w:val="96FF4979"/>
    <w:rsid w:val="9B7F66C6"/>
    <w:rsid w:val="9BD75A3A"/>
    <w:rsid w:val="9D9B176C"/>
    <w:rsid w:val="9EEEFE24"/>
    <w:rsid w:val="9FAB0FD1"/>
    <w:rsid w:val="9FBBAC54"/>
    <w:rsid w:val="A3FC161B"/>
    <w:rsid w:val="A5CFA130"/>
    <w:rsid w:val="AB7DE430"/>
    <w:rsid w:val="ADEF2B27"/>
    <w:rsid w:val="AE7FE10A"/>
    <w:rsid w:val="AEDE28E8"/>
    <w:rsid w:val="AEFF5956"/>
    <w:rsid w:val="AF2D021B"/>
    <w:rsid w:val="AFBB9EED"/>
    <w:rsid w:val="B2FFF804"/>
    <w:rsid w:val="B3FA8ADE"/>
    <w:rsid w:val="B3FFF08A"/>
    <w:rsid w:val="B53FB282"/>
    <w:rsid w:val="B676C094"/>
    <w:rsid w:val="B6E7C3B2"/>
    <w:rsid w:val="B73585D2"/>
    <w:rsid w:val="B7FDF74F"/>
    <w:rsid w:val="B9374B95"/>
    <w:rsid w:val="B9EF5BD8"/>
    <w:rsid w:val="B9FF4C21"/>
    <w:rsid w:val="BA5286A9"/>
    <w:rsid w:val="BAED0CEF"/>
    <w:rsid w:val="BB6788BD"/>
    <w:rsid w:val="BBDF537F"/>
    <w:rsid w:val="BBDF5823"/>
    <w:rsid w:val="BBEF6449"/>
    <w:rsid w:val="BCADBAD1"/>
    <w:rsid w:val="BD5D0C6B"/>
    <w:rsid w:val="BDF6C7DD"/>
    <w:rsid w:val="BDFA85B0"/>
    <w:rsid w:val="BDFFD89B"/>
    <w:rsid w:val="BDFFEA11"/>
    <w:rsid w:val="BE7F5E3F"/>
    <w:rsid w:val="BEB808B7"/>
    <w:rsid w:val="BF5FBA95"/>
    <w:rsid w:val="BF8F5A48"/>
    <w:rsid w:val="BF9DAC48"/>
    <w:rsid w:val="BFBB5069"/>
    <w:rsid w:val="BFBE82A0"/>
    <w:rsid w:val="BFBEE650"/>
    <w:rsid w:val="BFBFFB2F"/>
    <w:rsid w:val="BFD7190A"/>
    <w:rsid w:val="BFDDD2F6"/>
    <w:rsid w:val="BFE55F62"/>
    <w:rsid w:val="BFE916D4"/>
    <w:rsid w:val="BFF5DCC6"/>
    <w:rsid w:val="BFFD67D4"/>
    <w:rsid w:val="BFFF77BD"/>
    <w:rsid w:val="BFFFDB7D"/>
    <w:rsid w:val="C5F35B3A"/>
    <w:rsid w:val="CD7F3A39"/>
    <w:rsid w:val="CD8F0E03"/>
    <w:rsid w:val="CDCF1230"/>
    <w:rsid w:val="CDF5A96C"/>
    <w:rsid w:val="CEBFB247"/>
    <w:rsid w:val="CF35773A"/>
    <w:rsid w:val="CF96095D"/>
    <w:rsid w:val="CFFE9EBC"/>
    <w:rsid w:val="D1FEC1AA"/>
    <w:rsid w:val="D3DA3D09"/>
    <w:rsid w:val="D615927C"/>
    <w:rsid w:val="D61D3A10"/>
    <w:rsid w:val="D7DFB8DC"/>
    <w:rsid w:val="D7E26144"/>
    <w:rsid w:val="D7FEA4BF"/>
    <w:rsid w:val="DABD5814"/>
    <w:rsid w:val="DBF7B69C"/>
    <w:rsid w:val="DBFF7081"/>
    <w:rsid w:val="DDEF9001"/>
    <w:rsid w:val="DE5D4249"/>
    <w:rsid w:val="DEFF982E"/>
    <w:rsid w:val="DF130D55"/>
    <w:rsid w:val="DF5D8105"/>
    <w:rsid w:val="DF5F3733"/>
    <w:rsid w:val="DF7BFF09"/>
    <w:rsid w:val="DF9FA741"/>
    <w:rsid w:val="DFB0E78D"/>
    <w:rsid w:val="DFF6E917"/>
    <w:rsid w:val="DFF8803D"/>
    <w:rsid w:val="DFFD2C1F"/>
    <w:rsid w:val="DFFE225F"/>
    <w:rsid w:val="DFFF1A69"/>
    <w:rsid w:val="E2DEB952"/>
    <w:rsid w:val="E3A5397A"/>
    <w:rsid w:val="E3DC61B5"/>
    <w:rsid w:val="E4F77197"/>
    <w:rsid w:val="E4FE369D"/>
    <w:rsid w:val="E4FF884A"/>
    <w:rsid w:val="E5D57CBE"/>
    <w:rsid w:val="E6BF806A"/>
    <w:rsid w:val="E76F3011"/>
    <w:rsid w:val="E76FDD29"/>
    <w:rsid w:val="E7BE93B9"/>
    <w:rsid w:val="E7DF1646"/>
    <w:rsid w:val="E7FFD9A7"/>
    <w:rsid w:val="E9B9AEAF"/>
    <w:rsid w:val="EAC5357E"/>
    <w:rsid w:val="EAFDF910"/>
    <w:rsid w:val="EB4389FD"/>
    <w:rsid w:val="EBDA229E"/>
    <w:rsid w:val="EBF56CBC"/>
    <w:rsid w:val="EBF94881"/>
    <w:rsid w:val="EBFB0E18"/>
    <w:rsid w:val="EBFE9B75"/>
    <w:rsid w:val="ECEE164F"/>
    <w:rsid w:val="EDFE7BDF"/>
    <w:rsid w:val="EDFECAC3"/>
    <w:rsid w:val="EE7C5A84"/>
    <w:rsid w:val="EEE439BE"/>
    <w:rsid w:val="EEF7377A"/>
    <w:rsid w:val="EEFC6798"/>
    <w:rsid w:val="EEFE3140"/>
    <w:rsid w:val="EF5DF6C5"/>
    <w:rsid w:val="EFBAE92A"/>
    <w:rsid w:val="EFF54FC5"/>
    <w:rsid w:val="EFF79DA4"/>
    <w:rsid w:val="EFFD55AA"/>
    <w:rsid w:val="F1878628"/>
    <w:rsid w:val="F1FDA364"/>
    <w:rsid w:val="F36D7703"/>
    <w:rsid w:val="F3BE65E1"/>
    <w:rsid w:val="F3EEAEE3"/>
    <w:rsid w:val="F55FB23B"/>
    <w:rsid w:val="F5BEAC73"/>
    <w:rsid w:val="F5EF04CE"/>
    <w:rsid w:val="F6E97145"/>
    <w:rsid w:val="F6FB97E2"/>
    <w:rsid w:val="F6FBC7EF"/>
    <w:rsid w:val="F6FD90FB"/>
    <w:rsid w:val="F6FF8B86"/>
    <w:rsid w:val="F76FEFE9"/>
    <w:rsid w:val="F79D4175"/>
    <w:rsid w:val="F7BDFB5C"/>
    <w:rsid w:val="F7BF0E64"/>
    <w:rsid w:val="F7DE7813"/>
    <w:rsid w:val="F7E8D321"/>
    <w:rsid w:val="F7F160C4"/>
    <w:rsid w:val="F7FB4545"/>
    <w:rsid w:val="F7FD2F4D"/>
    <w:rsid w:val="F7FF7101"/>
    <w:rsid w:val="F8DAB77B"/>
    <w:rsid w:val="F92E29FB"/>
    <w:rsid w:val="F9D496D0"/>
    <w:rsid w:val="F9DF845D"/>
    <w:rsid w:val="F9EDDF5A"/>
    <w:rsid w:val="F9F79F06"/>
    <w:rsid w:val="FA3FDAA8"/>
    <w:rsid w:val="FA6FCA68"/>
    <w:rsid w:val="FAABA300"/>
    <w:rsid w:val="FADFBF51"/>
    <w:rsid w:val="FAEF57AB"/>
    <w:rsid w:val="FAFFAE0B"/>
    <w:rsid w:val="FB5D1F68"/>
    <w:rsid w:val="FB8F67D7"/>
    <w:rsid w:val="FBAD3BAD"/>
    <w:rsid w:val="FBAEBB4F"/>
    <w:rsid w:val="FBBD41E4"/>
    <w:rsid w:val="FBBF94B5"/>
    <w:rsid w:val="FBBFF5E6"/>
    <w:rsid w:val="FBDF210E"/>
    <w:rsid w:val="FBDF80F0"/>
    <w:rsid w:val="FBF74EE3"/>
    <w:rsid w:val="FBFB4100"/>
    <w:rsid w:val="FBFF91B3"/>
    <w:rsid w:val="FC7F2C6D"/>
    <w:rsid w:val="FCBE5034"/>
    <w:rsid w:val="FCD859D4"/>
    <w:rsid w:val="FCDFB053"/>
    <w:rsid w:val="FCF6DC30"/>
    <w:rsid w:val="FCFA8602"/>
    <w:rsid w:val="FCFF72F1"/>
    <w:rsid w:val="FD6A3185"/>
    <w:rsid w:val="FD9C4392"/>
    <w:rsid w:val="FD9D2B2B"/>
    <w:rsid w:val="FD9FD6C1"/>
    <w:rsid w:val="FDA361B6"/>
    <w:rsid w:val="FDBF9511"/>
    <w:rsid w:val="FDD8EA3C"/>
    <w:rsid w:val="FDE7FE0E"/>
    <w:rsid w:val="FDFAC641"/>
    <w:rsid w:val="FE5EF5EE"/>
    <w:rsid w:val="FE5F357B"/>
    <w:rsid w:val="FE7602B8"/>
    <w:rsid w:val="FED64A8B"/>
    <w:rsid w:val="FEF716B8"/>
    <w:rsid w:val="FEF768A0"/>
    <w:rsid w:val="FEFAE0D0"/>
    <w:rsid w:val="FEFBB29C"/>
    <w:rsid w:val="FEFD868E"/>
    <w:rsid w:val="FEFD9834"/>
    <w:rsid w:val="FEFDE6E2"/>
    <w:rsid w:val="FEFFC5A1"/>
    <w:rsid w:val="FF0635B1"/>
    <w:rsid w:val="FF1E8131"/>
    <w:rsid w:val="FF435C26"/>
    <w:rsid w:val="FF5F3066"/>
    <w:rsid w:val="FF77F585"/>
    <w:rsid w:val="FF77F926"/>
    <w:rsid w:val="FF7DB59E"/>
    <w:rsid w:val="FF7F1CA7"/>
    <w:rsid w:val="FF7FDE8C"/>
    <w:rsid w:val="FF942E05"/>
    <w:rsid w:val="FFAF600D"/>
    <w:rsid w:val="FFBBBD9D"/>
    <w:rsid w:val="FFBDBDC0"/>
    <w:rsid w:val="FFBE0738"/>
    <w:rsid w:val="FFBEAC4A"/>
    <w:rsid w:val="FFD6D4AF"/>
    <w:rsid w:val="FFDF218A"/>
    <w:rsid w:val="FFDF6E7D"/>
    <w:rsid w:val="FFE7B902"/>
    <w:rsid w:val="FFED9A86"/>
    <w:rsid w:val="FFEDA226"/>
    <w:rsid w:val="FFEEF265"/>
    <w:rsid w:val="FFEF0CC3"/>
    <w:rsid w:val="FFF6BBF0"/>
    <w:rsid w:val="FFF72CC4"/>
    <w:rsid w:val="FFF738DC"/>
    <w:rsid w:val="FFF97888"/>
    <w:rsid w:val="FFFB3890"/>
    <w:rsid w:val="FFFC2402"/>
    <w:rsid w:val="FFFF44E7"/>
    <w:rsid w:val="FFFF53E0"/>
    <w:rsid w:val="FFFF68CF"/>
    <w:rsid w:val="FFFFD7FC"/>
    <w:rsid w:val="FFFFDD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pacing w:after="120"/>
      <w:ind w:left="200" w:leftChars="200"/>
    </w:pPr>
    <w:rPr>
      <w:rFonts w:ascii="Calibri" w:hAnsi="Calibri" w:cs="Times New Roman"/>
      <w:sz w:val="24"/>
      <w:szCs w:val="20"/>
    </w:rPr>
  </w:style>
  <w:style w:type="paragraph" w:styleId="3">
    <w:name w:val="Date"/>
    <w:basedOn w:val="1"/>
    <w:next w:val="1"/>
    <w:qFormat/>
    <w:uiPriority w:val="0"/>
    <w:rPr>
      <w:rFonts w:ascii="仿宋_GB2312" w:eastAsia="仿宋_GB2312"/>
      <w:sz w:val="3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3"/>
    <w:qFormat/>
    <w:uiPriority w:val="0"/>
    <w:pPr>
      <w:jc w:val="center"/>
    </w:pPr>
    <w:rPr>
      <w:rFonts w:ascii="方正小标宋简体" w:eastAsia="方正小标宋简体"/>
      <w:color w:val="FF0000"/>
      <w:sz w:val="72"/>
      <w:szCs w:val="24"/>
    </w:rPr>
  </w:style>
  <w:style w:type="paragraph" w:styleId="8">
    <w:name w:val="Body Text First Indent 2"/>
    <w:basedOn w:val="2"/>
    <w:qFormat/>
    <w:uiPriority w:val="99"/>
    <w:pPr>
      <w:ind w:firstLine="200" w:firstLineChars="200"/>
    </w:pPr>
    <w:rPr>
      <w:rFonts w:ascii="Calibri" w:hAnsi="Calibri"/>
      <w:sz w:val="24"/>
    </w:rPr>
  </w:style>
  <w:style w:type="paragraph" w:customStyle="1" w:styleId="11">
    <w:name w:val=" Char Char Char"/>
    <w:basedOn w:val="1"/>
    <w:link w:val="10"/>
    <w:qFormat/>
    <w:uiPriority w:val="0"/>
    <w:rPr>
      <w:szCs w:val="20"/>
    </w:rPr>
  </w:style>
  <w:style w:type="character" w:styleId="12">
    <w:name w:val="page number"/>
    <w:basedOn w:val="10"/>
    <w:qFormat/>
    <w:uiPriority w:val="0"/>
  </w:style>
  <w:style w:type="character" w:customStyle="1" w:styleId="13">
    <w:name w:val=" Char Char"/>
    <w:link w:val="7"/>
    <w:qFormat/>
    <w:uiPriority w:val="0"/>
    <w:rPr>
      <w:rFonts w:ascii="方正小标宋简体" w:eastAsia="方正小标宋简体"/>
      <w:color w:val="FF0000"/>
      <w:kern w:val="2"/>
      <w:sz w:val="72"/>
      <w:szCs w:val="24"/>
    </w:rPr>
  </w:style>
  <w:style w:type="character" w:customStyle="1" w:styleId="14">
    <w:name w:val="s1"/>
    <w:basedOn w:val="10"/>
    <w:qFormat/>
    <w:uiPriority w:val="0"/>
  </w:style>
  <w:style w:type="paragraph" w:customStyle="1" w:styleId="15">
    <w:name w:val="p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NormalCharacter"/>
    <w:link w:val="17"/>
    <w:qFormat/>
    <w:uiPriority w:val="0"/>
    <w:rPr>
      <w:kern w:val="2"/>
      <w:sz w:val="21"/>
      <w:szCs w:val="20"/>
      <w:lang w:val="en-US" w:eastAsia="zh-CN" w:bidi="ar-SA"/>
    </w:rPr>
  </w:style>
  <w:style w:type="paragraph" w:customStyle="1" w:styleId="17">
    <w:name w:val="UserStyle_5"/>
    <w:link w:val="16"/>
    <w:qFormat/>
    <w:uiPriority w:val="0"/>
    <w:pPr>
      <w:widowControl w:val="0"/>
      <w:jc w:val="both"/>
      <w:textAlignment w:val="baseline"/>
    </w:pPr>
    <w:rPr>
      <w:rFonts w:ascii="Times New Roman" w:hAnsi="Times New Roman" w:eastAsia="宋体" w:cs="Times New Roman"/>
      <w:kern w:val="2"/>
      <w:sz w:val="21"/>
      <w:szCs w:val="20"/>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RJSOFT</Company>
  <Pages>16</Pages>
  <Words>1114</Words>
  <Characters>6353</Characters>
  <Lines>52</Lines>
  <Paragraphs>14</Paragraphs>
  <TotalTime>1</TotalTime>
  <ScaleCrop>false</ScaleCrop>
  <LinksUpToDate>false</LinksUpToDate>
  <CharactersWithSpaces>7453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2020-09-24T08:29:00Z</dcterms:created>
  <dc:creator>RJeGov</dc:creator>
  <cp:lastModifiedBy>李慧琳</cp:lastModifiedBy>
  <cp:lastPrinted>2024-05-03T16:20:00Z</cp:lastPrinted>
  <dcterms:modified xsi:type="dcterms:W3CDTF">2024-06-11T15:59:58Z</dcterms:modified>
  <dc:title>正文文件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