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B8" w:rsidRDefault="009E1EF5">
      <w:pPr>
        <w:rPr>
          <w:rFonts w:ascii="仿宋" w:eastAsia="仿宋" w:hAnsi="仿宋" w:cs="仿宋"/>
          <w:sz w:val="32"/>
          <w:szCs w:val="32"/>
        </w:rPr>
      </w:pPr>
      <w:r>
        <w:rPr>
          <w:rFonts w:ascii="仿宋" w:eastAsia="仿宋" w:hAnsi="仿宋" w:cs="仿宋" w:hint="eastAsia"/>
          <w:sz w:val="32"/>
          <w:szCs w:val="32"/>
        </w:rPr>
        <w:t>附件2</w:t>
      </w:r>
    </w:p>
    <w:p w:rsidR="00BA33B8" w:rsidRDefault="009E1EF5">
      <w:pPr>
        <w:spacing w:before="156" w:after="156"/>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政府预</w:t>
      </w:r>
      <w:bookmarkStart w:id="0" w:name="_GoBack"/>
      <w:bookmarkEnd w:id="0"/>
      <w:r>
        <w:rPr>
          <w:rFonts w:ascii="方正小标宋简体" w:eastAsia="方正小标宋简体" w:hAnsi="方正小标宋简体" w:cs="方正小标宋简体" w:hint="eastAsia"/>
          <w:sz w:val="44"/>
          <w:szCs w:val="32"/>
        </w:rPr>
        <w:t>算相关重要事项说明</w:t>
      </w:r>
    </w:p>
    <w:p w:rsidR="00BA33B8" w:rsidRDefault="009E1EF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Arial" w:hint="eastAsia"/>
          <w:sz w:val="32"/>
          <w:szCs w:val="32"/>
        </w:rPr>
        <w:t>省本级支出预算说明</w:t>
      </w:r>
    </w:p>
    <w:p w:rsidR="00BA33B8" w:rsidRDefault="009E1EF5">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2021年度福建省本级一般公共预算支出数为543.66亿元，比上年增加18.85亿元，增长3.6%。具体情况如下：</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（一）201-一般公共服务支出科目376128万元，较</w:t>
      </w:r>
      <w:r>
        <w:rPr>
          <w:rFonts w:ascii="仿宋" w:eastAsia="仿宋" w:hAnsi="仿宋" w:cs="Arial" w:hint="eastAsia"/>
          <w:sz w:val="32"/>
          <w:szCs w:val="32"/>
        </w:rPr>
        <w:t>上年增加19922</w:t>
      </w:r>
      <w:r>
        <w:rPr>
          <w:rFonts w:ascii="仿宋" w:eastAsia="仿宋" w:hAnsi="仿宋" w:cs="仿宋" w:hint="eastAsia"/>
          <w:sz w:val="32"/>
          <w:szCs w:val="32"/>
        </w:rPr>
        <w:t>万元，增长5.6%。其中：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1、20101-人大事务科目8419万元，较</w:t>
      </w:r>
      <w:r>
        <w:rPr>
          <w:rFonts w:ascii="仿宋" w:eastAsia="仿宋" w:hAnsi="仿宋" w:cs="Arial" w:hint="eastAsia"/>
          <w:sz w:val="32"/>
          <w:szCs w:val="32"/>
        </w:rPr>
        <w:t>上年</w:t>
      </w:r>
      <w:r>
        <w:rPr>
          <w:rFonts w:ascii="仿宋" w:eastAsia="仿宋" w:hAnsi="仿宋" w:cs="仿宋" w:hint="eastAsia"/>
          <w:sz w:val="32"/>
          <w:szCs w:val="32"/>
        </w:rPr>
        <w:t>增加1067万元，增长14.5%。主要原因是增加全省市县乡三级人大换届选举经费省本级支出部分、省人大基本业务费等。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2、20102-政协事务科目6108万元，较</w:t>
      </w:r>
      <w:r>
        <w:rPr>
          <w:rFonts w:ascii="仿宋" w:eastAsia="仿宋" w:hAnsi="仿宋" w:cs="Arial" w:hint="eastAsia"/>
          <w:sz w:val="32"/>
          <w:szCs w:val="32"/>
        </w:rPr>
        <w:t>上年</w:t>
      </w:r>
      <w:r>
        <w:rPr>
          <w:rFonts w:ascii="仿宋" w:eastAsia="仿宋" w:hAnsi="仿宋" w:cs="仿宋" w:hint="eastAsia"/>
          <w:sz w:val="32"/>
          <w:szCs w:val="32"/>
        </w:rPr>
        <w:t>增加855万元，增长16.3%。主要原因是增加省政协基本业务费。</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3、20103-政府办公厅（室）及相关机构事务科目33416万元，较</w:t>
      </w:r>
      <w:r>
        <w:rPr>
          <w:rFonts w:ascii="仿宋" w:eastAsia="仿宋" w:hAnsi="仿宋" w:cs="Arial" w:hint="eastAsia"/>
          <w:sz w:val="32"/>
          <w:szCs w:val="32"/>
        </w:rPr>
        <w:t>上年</w:t>
      </w:r>
      <w:r>
        <w:rPr>
          <w:rFonts w:ascii="仿宋" w:eastAsia="仿宋" w:hAnsi="仿宋" w:cs="仿宋" w:hint="eastAsia"/>
          <w:sz w:val="32"/>
          <w:szCs w:val="32"/>
        </w:rPr>
        <w:t>增加5585万元，增长20.1%。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4、20104-发展与改革事务科目15261万元，较上年减少16421万元，下降51.8%。主要原因是减少上年一次性安排创新研究院经费等。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5、20105-统计信息事务科目7510万元，较上年增加1286万元，增长20.7%。主要原因是省级月度劳动力调查工作样本量增加相应追加经费。</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6、20106-财政事务科目15655万元，较上年增加1889万元，增长13.7%。主要原因是增加预算管理一体化建设经</w:t>
      </w:r>
      <w:r>
        <w:rPr>
          <w:rFonts w:ascii="仿宋" w:eastAsia="仿宋" w:hAnsi="仿宋" w:cs="仿宋" w:hint="eastAsia"/>
          <w:sz w:val="32"/>
          <w:szCs w:val="32"/>
        </w:rPr>
        <w:lastRenderedPageBreak/>
        <w:t xml:space="preserve">费及云资源使用费等。 </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7、20107-税收事务科目80713万元，较上年增加7665万元，增长10.5%。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8、20108-审计事务科目6949万元，较上年增加714万元，增长11.5%。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9、20113-商贸事务科目6600万元，较上年增加493万元，增长8.1%。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10、20114-知识产权事务科目650万元，较上年增加9万元，增长1.4%。</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11、20123-民族事务1661科目万元，较上年增加11万元，增长0.6%。</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12、20126-档案事务3451科目万元，较上年增加135万元，增长4.1%。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13、20129-群众团体事务科目14246万元，较上年减少80万元，下降0.6%。</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14、20138-市场监督管理事务科目80157万元，较上年增加1577万元，增长2.0%。</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（二）204-公共安全支出科目92275万元，较上年增加190701万元，增长26.1%。其中：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1、20402-公安科目98742万元，较上年增加25945万元，增长35.6%。主要原因是增加警务云三期信息化建设经费和公安信息化设备维护费、省交警总队辅警人员经费、林则徐禁毒教育基地建设经费等。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2、20404-检察科目179774万元，较上年增加24481万元，增长15.8%。主要原因是增加省以下检察院业务费。</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3、20405-法院科目289520万元，较上年增加37706万元，增长15.0%。主要原因是增加省以下法院业务费等。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4、20406-司法科目6289万元，较上年增加1402万元，增长28.7%。主要原因是增加省司法厅基本业务费、社区矫正和行政复议工作经费等。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（三）205-教育支出科目960845万元，较上年增加65214万元，增长7.3%。其中：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1、20501-教育管理事务科目2849万元，较上年增加396万元，增长16.1%。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2、20502-普通教育科目629449万元，较上年增加28385万元，增长4.7 %。主要原因是2021年起幼儿园保教费收入纳入一般公共预算管理，相应增加安排支出。</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3、20503-职业教育科目203809万元，较上年增加28549万元，增长16.3%。主要原因是部分民办技工学校按属地原则下划设区市管理、高职院校扩招增加生均经费。</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4、20505-广播电视教育科目2696万元，较上年增加193万元，增长7.7%。</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5、20506-留学教育科目41万元，较上年增加2万元，增长4.1%。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6、20508-进修及培训科目22256万元，较上年增加1606万元，增长7.8%。</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7、20509-教育费附加安排的支出科目10000万元。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8、20599-其他教育支出科目89745万元，较上年增加6085万元，增长7.3%。</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（四）206-科学技术支出科目157517万元，较上年增加7835万元，增长5.2%。其中：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1、20601-科学技术管理事务科目8764万元，较上年增加49万元，增长0.6%。</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2、20602-基础研究科目8258万元，较上年增加2266万元，增长37.8%。主要原因是增加两岸自然科学基金等。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3、20603-应用研究科目45619万元，较上年增加3814万元，增长9.1%。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4、20604-技术研究与开发科目43690万元，较上年增加82万元，增长0.2%。</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5、20605-科技条件与服务科目17747万元，较上年增加408万元，增长2.4%。</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6、20606-社会科学科目9051万元，较上年增加337万元，增长3.9%。主要原因是增加社科院课题出版研究经费、社科联社科基金评审经费等。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7、20607-科学技术普及科目8051万元，较上年减少2万元，与上年基本持平。</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8、20608-科技交流与合作科目423万元，较上年增加1万元，增长0.1%。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9、20699-其他科学技术支出科目15914万元，较上年</w:t>
      </w:r>
      <w:r>
        <w:rPr>
          <w:rFonts w:ascii="仿宋" w:eastAsia="仿宋" w:hAnsi="仿宋" w:cs="仿宋" w:hint="eastAsia"/>
          <w:sz w:val="32"/>
          <w:szCs w:val="32"/>
        </w:rPr>
        <w:lastRenderedPageBreak/>
        <w:t>增加881万元，增长5.9%。</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（五）207-文化旅游体育与传媒支出科目191115万元，较上年增加27947万元，增长17.1%。其中：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1、20701-文化和旅游科目72395万元，较上年增加4422万元，增长6.5%。主要原因是增加图书馆改扩建经费等。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2、20702-文物科目8458万元，较上年增加3322万元，增长64.7%。主要原因是中央转移支付编入省本级预算增加。</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3、20703-体育科目23182万元，较上年增加2734万元，增长13.4%。主要原因是增加安排备战全运会专项经费等。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4、20706-新闻出版电影科目314万元，较上年增加5万元，增长1.5%。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5、20708-广播电视科目39721万元，较上年增加14584万元，增长58.0%。主要原因是增加东南卫视落地经费补助等。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6、20799-其他文化旅游体育与传媒支出科目47044万元，较上年增加2880万元，增长6.5%。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（六）208-社会保障和就业支出科目361457万元，较上年增加15898万元，增长4.6 %。其中：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1、20801-人力资源和社会保障管理事务科目76162万元，较上年增加10391万元，增长15.8%。主要原因是加大人才专项投入力度等。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2、20802-民政管理事务科目5205万元，较上年增加1412万元，增长37.2%。主要原因是增加建宁安置站建设经费等。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3、20805-行政事业单位养老支出科目247593万元，较上年增加4775万元，增长2.0%。</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4、20807-就业补助科目5304万元，较上年减少1960万元，下降27.0%。主要原因是将部分原省本级支出资金转列对市县补助，加大对基层支持。</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5、20808-抚恤科目707万元，较上年增加20万元，增长2.9%。</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6、20810-社会福利科目792万元，较上年增加170万元，增长27.3%。</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7、20811-残疾人事业科目5571万元，较上年减少1280万元，下降18.7%。主要原因是减少上年一次性安排残疾人就业服务中心和残疾人辅具资源中心搬迁安置经费。</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8、20816-红十字事业科目1933万元，较上年增加706万元，增长57.5%。主要原因是增加群众应急救护项目资金。</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9、20820-临时救助科目222万元，较上年增加44万元，增长25%。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（七）-卫生健康支出科目345462万元，较上年增加82140万元，增长31.2%。其中：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1、210-卫生健康管理事务科目5270万元，较上年减少927万元，下降15%。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2、21002-公立医院科目114414万元，较上年增加69317万元，增长153.7%。主要原因是加大对省属医院基建、区域医疗中心建设、医疗“创双高”等投入、增加儿童医院PPP</w:t>
      </w:r>
      <w:r>
        <w:rPr>
          <w:rFonts w:ascii="仿宋" w:eastAsia="仿宋" w:hAnsi="仿宋" w:cs="仿宋" w:hint="eastAsia"/>
          <w:sz w:val="32"/>
          <w:szCs w:val="32"/>
        </w:rPr>
        <w:lastRenderedPageBreak/>
        <w:t>可行性缺口补助等。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3、21004-公共卫生科目34687万元，较上年增加5585万元，增长19.2%。主要原因是安排省疾控中心基建资金等。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4、21006-中医药科目809万元，较上年减少477万元，下降37.1%。主要原因是将部分原省本级支出转列对市县补助，加大对基层支持力度。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5、21007-计划生育事务科目1477万元，较上年增加10万元，增长0.7%。</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6、21011-行政事业单位医疗科目112857万元，较上年增加7642万元，增长7.3%。</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7、21012-医疗保障管理事务科目3113万元，较上年增加86万元，增长2.8%。</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8、21099-其他卫生健康支出科目72835万元，较上年增加904万元，增长1.3%。</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（八）211-节能环保支出科目60865万元，较上年增加24742万元，增长68.5%。其中：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1、21101-环境保护管理事务科目8096万元，较上年减少265万元，下降3.2%。</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2、21102-环境监测与监察科目15821万元，较上年增加11281万元，增长248.5%。主要原因是加大生态监管能力建设力度。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3、21103-污染防治科目507万元，较上年增加90万元，增长21.5%。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4、21110-能源节约利用科目2060万元，较上年减少723万元，下降26%。主要原因是将部分原省本级支出转列对市县补助，加大对基层支持力度。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5、21111-污染减排科目34302万元，较上年增加14280万元，增长71.3%。主要原因是加大对生态监管能力建设支持力度。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6、21199-其他节能环保支出科目80万元。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（九）212-城乡社区支出科目11112万元，较上年增加1705万元，增长18.1%。其中：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1、21201-城乡社区管理事务科目10744万元，较上年增加1705万元，增长18.9%。主要原因是增加省建设工程消防设计审核验收技术中心业务费和全省房屋结构安全专项治理工作等专项业务费。</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2、21202-城乡社区规划与管理科目368万元，与上年持平。</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（十）213-农林水支出科目232218万元，较上年增加7760万元，增长3.5%。其中：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1、21301-农业农村科目58687万元，较上年增加7058万元，增长13.7%。主要原因是支持做好扶贫和乡村振兴的有效衔接工作。</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2、21302-林业和草原科目47252万元，较上年增加233万元，增长0.5%。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3、21303-水利科目46436万元，较上年减少4253万元，</w:t>
      </w:r>
      <w:r>
        <w:rPr>
          <w:rFonts w:ascii="仿宋" w:eastAsia="仿宋" w:hAnsi="仿宋" w:cs="仿宋" w:hint="eastAsia"/>
          <w:sz w:val="32"/>
          <w:szCs w:val="32"/>
        </w:rPr>
        <w:lastRenderedPageBreak/>
        <w:t>下降8.4。主要原因是由于加大对市县转移支付力度。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4、21305-扶贫科目23274万元，较上年增加592万元，增长2.6%。</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5、21308-普惠金融发展支出42143万元，较上年增加2616万元，增长6.6%。</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6、21399-其他农林水支出支出14426万元，较上年增加1514万元，增长11.7%。</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（十一）214-交通运输支出科目138004万元，较上年减少45191万元，下降24.7%。其中：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1、21401-公路水路运输科目122689万元，较上年减少46555万元，下降27.5%。</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2、21402-铁路运输科目3415万元，较上年增加882万元，增长34.8%。主要原因是2020年底衢宁、福平铁路开通增加运营里程289.80公里，相应增加预算。</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3、21403-民用航空运输科目226万元，与上年持平。</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4、21405-邮政业支出科目415万元，较上年增加179万元，增长75.7%。主要原因是增加安排邮政行业职业技能鉴定费等。</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5、21499-其他交通运输支出科目11260万元，较上年增加303万元，增长2.8%。</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（十二）215-资源勘探工业信息等支出科目188652万元，较上年增加36180万元，增长23.7%。其中：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1、21501-资源勘探开发科目47699万元，较上年增加5</w:t>
      </w:r>
      <w:r>
        <w:rPr>
          <w:rFonts w:ascii="仿宋" w:eastAsia="仿宋" w:hAnsi="仿宋" w:cs="仿宋" w:hint="eastAsia"/>
          <w:sz w:val="32"/>
          <w:szCs w:val="32"/>
        </w:rPr>
        <w:lastRenderedPageBreak/>
        <w:t>万元，与上年基本持平。</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2、21502-制造业科目5981万元，较上年减少40万元，下降0.7%。</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3、21503-建筑业科目208万元，较上年增加3万元，增长1.2%。</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4、21505-工业和信息产业监管科目16627万元，较上年增加1819万元，增长12.3%。主要原因是加大对工业和信息产业监管的支持力度。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5、21507-国有资产监管科目3237万元，较上年减少133万元，下降3.9%。</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6、21508-支持中小企业发展和管理支出科目1878万元，较上年增加883万元，增长88.9%。主要原因是加大对中小企业发展支持力度。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7、21599-其他资源勘探信息等支出科目113022万元，较上年增加33643万元，增长42.4%。主要原因是加大对企业技改的支持力度。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（十三）216-商业服务业等支出科目50401万元，较上年减少14398万元，下降22.2%。其中：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1、21602-商业流通事务科目7210万元，较上年增加2467万元，增长52.0%。主要原因是增加保供促销工程补助资金。</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2、21606-涉外发展服务支出科目43191万元，较上年减少16864万元，下降28.1%。主要原因是加大对市县转移支付力度。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（十四）217-金融支出科目32703万元，较上年增加10397万元，增长46.6%。其中：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1、21701-金融部门行政支出科目1623万元，较上年增加382万元，增长30.8%。</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2、21703-金融发展支出科目19280万元，较上年增加115万元，增长0.6%。</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3、21799-其他金融支出科目11800万元，较上年增加9900万元，增长521.1%。主要原因是增加预留中小微企业纾困贷款贴息资金。</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（十五）220-自然资源海洋气象等支出科目53420万元，较上年增加4455万元，增长9.1%。其中：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1、22001-自然资源事务科目47059万元，较上年增加4459万元，增长10.5%。主要原因是加大对国土生态方面支持力度。</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2、22005-气象事务科目6362万元，较上年减少4万元，下降0.1%。</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（十六）221-住房保障支出科目143004万元，较上年增加5271万元，增长3.8%。其中：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1、22101-保障性安居工程支出科目20000万元，较上年增加800万元，增长4.2%。</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2、22102-住房改革支出科目123004万元，较上年增加4471万元，增长3.8%。</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（十七）222-粮油物资储备支出科目79704万元，较上</w:t>
      </w:r>
      <w:r>
        <w:rPr>
          <w:rFonts w:ascii="仿宋" w:eastAsia="仿宋" w:hAnsi="仿宋" w:cs="仿宋" w:hint="eastAsia"/>
          <w:sz w:val="32"/>
          <w:szCs w:val="32"/>
        </w:rPr>
        <w:lastRenderedPageBreak/>
        <w:t>年增加5563万元，增长7.5%。其中：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22201-粮油物资事务科目77904万元，较上年增加5563万元，增长7.7%。主要原因是增加省级10万吨动态储备转静态储备等资金。</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（十八）224-灾害防治及应急管理支出科目20392万元，较上年增加4327万元，增长26.9%。其中：</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1、22401-应急管理事务科目8419万元，较上年增加744万元，增长9.7%。</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2、22404-煤矿安全科目409万元。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3、22405-地震事务科目3323万元，较上年增加42万元，增长1.3%。</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4、22406-自然灾害防治科目7741万元，较上年增加3041万元，增长64.7%。主要原因是新增第一次全省自然灾害普查专项经费。</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5、22407-自然灾害救灾及恢复重建支出科目500万元。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（十九）22999-其他支出科目929336万元。较上年减少270684万元，下降22.6%。</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（二十）232-债务付息支出科目20282万元。较上年增加4726万元，增长30.4%。</w:t>
      </w:r>
    </w:p>
    <w:p w:rsidR="00BA33B8" w:rsidRDefault="009E1EF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二、财政转移支付安排情况</w:t>
      </w:r>
    </w:p>
    <w:p w:rsidR="00BA33B8" w:rsidRDefault="009E1EF5">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2021年度福建省本级对下税收返还和转移支付预算数为13499160万元，具体情况如下：</w:t>
      </w:r>
    </w:p>
    <w:p w:rsidR="00BA33B8" w:rsidRDefault="009E1EF5">
      <w:pPr>
        <w:spacing w:line="600" w:lineRule="exact"/>
        <w:ind w:firstLineChars="200" w:firstLine="643"/>
        <w:rPr>
          <w:rStyle w:val="a4"/>
          <w:rFonts w:ascii="楷体" w:eastAsia="楷体" w:hAnsi="楷体" w:cs="Arial"/>
          <w:sz w:val="32"/>
          <w:szCs w:val="32"/>
        </w:rPr>
      </w:pPr>
      <w:r>
        <w:rPr>
          <w:rFonts w:ascii="楷体" w:eastAsia="楷体" w:hAnsi="楷体" w:cs="Arial" w:hint="eastAsia"/>
          <w:b/>
          <w:sz w:val="32"/>
          <w:szCs w:val="32"/>
        </w:rPr>
        <w:t>（一）</w:t>
      </w:r>
      <w:r>
        <w:rPr>
          <w:rStyle w:val="a4"/>
          <w:rFonts w:ascii="楷体" w:eastAsia="楷体" w:hAnsi="楷体" w:cs="Arial" w:hint="eastAsia"/>
          <w:sz w:val="32"/>
          <w:szCs w:val="32"/>
        </w:rPr>
        <w:t>一般性转移支付</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Arial" w:hint="eastAsia"/>
          <w:sz w:val="32"/>
          <w:szCs w:val="32"/>
        </w:rPr>
        <w:lastRenderedPageBreak/>
        <w:t>2021年度福建省本级对下一般转移支付预算数为11109947万元，</w:t>
      </w:r>
      <w:r>
        <w:rPr>
          <w:rFonts w:ascii="仿宋" w:eastAsia="仿宋" w:hAnsi="仿宋" w:cs="仿宋" w:hint="eastAsia"/>
          <w:sz w:val="32"/>
          <w:szCs w:val="32"/>
        </w:rPr>
        <w:t>具体情况如下：</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1、体制补助支出646463万元。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2、均衡性转移支付支出1734366万元。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3、县级基本财力保障机制奖补资金支出871080万元。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4、结算补助支出324408万元。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5、资源枯竭型城市转移支付补助支出3400万元。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6、企事业单位划转补助支出7300万元。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7、产粮（油）大县奖励资金支出6079万元。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8、重点生态功能区转移支付支出370200万元。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9、老少边穷地区转移支付支出197987万元。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10、共同财政事权转移支付支出5613687万元。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11、其他一般性转移支付支出1334977万元。</w:t>
      </w:r>
    </w:p>
    <w:p w:rsidR="00BA33B8" w:rsidRDefault="009E1EF5">
      <w:pPr>
        <w:spacing w:line="600" w:lineRule="exact"/>
        <w:ind w:firstLineChars="200" w:firstLine="643"/>
        <w:rPr>
          <w:rStyle w:val="a4"/>
          <w:rFonts w:ascii="楷体" w:eastAsia="楷体" w:hAnsi="楷体" w:cs="Arial"/>
          <w:b w:val="0"/>
          <w:sz w:val="32"/>
          <w:szCs w:val="32"/>
        </w:rPr>
      </w:pPr>
      <w:r>
        <w:rPr>
          <w:rFonts w:ascii="楷体" w:eastAsia="楷体" w:hAnsi="楷体" w:cs="Arial" w:hint="eastAsia"/>
          <w:b/>
          <w:sz w:val="32"/>
          <w:szCs w:val="32"/>
        </w:rPr>
        <w:t>（二）</w:t>
      </w:r>
      <w:r>
        <w:rPr>
          <w:rStyle w:val="a4"/>
          <w:rFonts w:ascii="楷体" w:eastAsia="楷体" w:hAnsi="楷体" w:cs="Arial" w:hint="eastAsia"/>
          <w:sz w:val="32"/>
          <w:szCs w:val="32"/>
        </w:rPr>
        <w:t>专项转移支付</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Arial" w:hint="eastAsia"/>
          <w:sz w:val="32"/>
          <w:szCs w:val="32"/>
        </w:rPr>
        <w:t>2021年度福建省本级对下专项转移支付预算数为1649813万元</w:t>
      </w:r>
      <w:r>
        <w:rPr>
          <w:rFonts w:ascii="仿宋" w:eastAsia="仿宋" w:hAnsi="仿宋" w:cs="仿宋" w:hint="eastAsia"/>
          <w:sz w:val="32"/>
          <w:szCs w:val="32"/>
        </w:rPr>
        <w:t>，具体情况如下：</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1、一般公共服务支出3364万元。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2、科学技术支出121450万元。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3、文化旅游体育与传媒支出6827万元。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4、社会保障和就业支出32600万元。</w:t>
      </w:r>
    </w:p>
    <w:p w:rsidR="00BA33B8" w:rsidRDefault="009E1EF5">
      <w:pPr>
        <w:spacing w:line="600" w:lineRule="exact"/>
        <w:ind w:firstLineChars="200" w:firstLine="640"/>
        <w:rPr>
          <w:rFonts w:ascii="仿宋" w:eastAsia="仿宋" w:hAnsi="仿宋" w:cs="仿宋"/>
          <w:b/>
          <w:bCs/>
          <w:sz w:val="32"/>
          <w:szCs w:val="32"/>
        </w:rPr>
      </w:pPr>
      <w:r>
        <w:rPr>
          <w:rFonts w:ascii="仿宋" w:eastAsia="仿宋" w:hAnsi="仿宋" w:cs="仿宋" w:hint="eastAsia"/>
          <w:sz w:val="32"/>
          <w:szCs w:val="32"/>
        </w:rPr>
        <w:t>5、卫生健康支出33183万元。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6、节能环保支出180618万元。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7、城乡社区支出185160万元。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8、农林水支出375034万元。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9、资源勘探工业信息等支出222085万元。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10、商业服务业等支出163219万元。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11、金融支出11600万元。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12、自然资源海洋气象等支出97496万元。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13、粮油物资储备支出8400万元。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14、灾害防治及应急管理支出20018万元。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15、其他支出188759万元。</w:t>
      </w:r>
    </w:p>
    <w:p w:rsidR="00BA33B8" w:rsidRDefault="009E1EF5">
      <w:pPr>
        <w:spacing w:line="600" w:lineRule="exact"/>
        <w:ind w:firstLineChars="200" w:firstLine="643"/>
        <w:rPr>
          <w:rStyle w:val="a4"/>
          <w:rFonts w:ascii="楷体" w:eastAsia="楷体" w:hAnsi="楷体" w:cs="Arial"/>
          <w:b w:val="0"/>
          <w:sz w:val="32"/>
          <w:szCs w:val="32"/>
        </w:rPr>
      </w:pPr>
      <w:r>
        <w:rPr>
          <w:rFonts w:ascii="楷体" w:eastAsia="楷体" w:hAnsi="楷体" w:cs="Arial" w:hint="eastAsia"/>
          <w:b/>
          <w:sz w:val="32"/>
          <w:szCs w:val="32"/>
        </w:rPr>
        <w:t>（三）</w:t>
      </w:r>
      <w:r>
        <w:rPr>
          <w:rStyle w:val="a4"/>
          <w:rFonts w:ascii="楷体" w:eastAsia="楷体" w:hAnsi="楷体" w:cs="Arial" w:hint="eastAsia"/>
          <w:sz w:val="32"/>
          <w:szCs w:val="32"/>
        </w:rPr>
        <w:t>税收返还</w:t>
      </w:r>
    </w:p>
    <w:p w:rsidR="00BA33B8" w:rsidRDefault="009E1EF5">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2021年度福建省本级对下税收返还预算数为739400万元，</w:t>
      </w:r>
      <w:r>
        <w:rPr>
          <w:rFonts w:ascii="仿宋" w:eastAsia="仿宋" w:hAnsi="仿宋" w:cs="仿宋" w:hint="eastAsia"/>
          <w:sz w:val="32"/>
          <w:szCs w:val="32"/>
        </w:rPr>
        <w:t>具体情况如下：</w:t>
      </w:r>
    </w:p>
    <w:p w:rsidR="00BA33B8" w:rsidRDefault="009E1EF5">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1、成品油税费改革税收返还支出106100万元。</w:t>
      </w:r>
    </w:p>
    <w:p w:rsidR="00BA33B8" w:rsidRDefault="009E1E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2、增值税“五五分享”税收返还支出633300万元。</w:t>
      </w:r>
    </w:p>
    <w:p w:rsidR="00BA33B8" w:rsidRDefault="009E1EF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三、举借政府债务情况</w:t>
      </w:r>
    </w:p>
    <w:p w:rsidR="00BA33B8" w:rsidRDefault="009E1EF5">
      <w:pPr>
        <w:spacing w:line="600" w:lineRule="exact"/>
        <w:ind w:firstLine="620"/>
        <w:rPr>
          <w:rFonts w:ascii="楷体" w:eastAsia="楷体" w:hAnsi="楷体" w:cs="楷体"/>
          <w:b/>
          <w:sz w:val="32"/>
          <w:szCs w:val="32"/>
        </w:rPr>
      </w:pPr>
      <w:r>
        <w:rPr>
          <w:rFonts w:ascii="楷体" w:eastAsia="楷体" w:hAnsi="楷体" w:cs="楷体" w:hint="eastAsia"/>
          <w:b/>
          <w:sz w:val="32"/>
          <w:szCs w:val="32"/>
        </w:rPr>
        <w:t>（一）地方政府债务限额余额情况</w:t>
      </w:r>
    </w:p>
    <w:p w:rsidR="00BA33B8" w:rsidRDefault="009E1EF5">
      <w:pPr>
        <w:spacing w:line="600" w:lineRule="exact"/>
        <w:ind w:firstLine="620"/>
        <w:rPr>
          <w:rFonts w:ascii="仿宋" w:eastAsia="仿宋" w:hAnsi="仿宋" w:cs="仿宋"/>
          <w:sz w:val="32"/>
          <w:szCs w:val="32"/>
        </w:rPr>
      </w:pPr>
      <w:r>
        <w:rPr>
          <w:rFonts w:ascii="仿宋" w:eastAsia="仿宋" w:hAnsi="仿宋" w:cs="仿宋" w:hint="eastAsia"/>
          <w:sz w:val="32"/>
          <w:szCs w:val="32"/>
        </w:rPr>
        <w:t>2020年全省新增政府债务限额1644亿元。截至2020年底，全省政府债务余额预计执行数8338.67亿元，债务余额严格控制在中央核定的限额9639.2亿元内。</w:t>
      </w:r>
    </w:p>
    <w:p w:rsidR="00BA33B8" w:rsidRDefault="009E1EF5">
      <w:pPr>
        <w:spacing w:line="600" w:lineRule="exact"/>
        <w:ind w:firstLine="620"/>
        <w:rPr>
          <w:rFonts w:ascii="仿宋" w:eastAsia="仿宋" w:hAnsi="仿宋" w:cs="仿宋"/>
          <w:sz w:val="32"/>
          <w:szCs w:val="32"/>
        </w:rPr>
      </w:pPr>
      <w:r>
        <w:rPr>
          <w:rFonts w:ascii="仿宋" w:eastAsia="仿宋" w:hAnsi="仿宋" w:cs="仿宋" w:hint="eastAsia"/>
          <w:sz w:val="32"/>
          <w:szCs w:val="32"/>
        </w:rPr>
        <w:t>2020年省本级新增政府债务限额46.73亿元，截至2020年底，省本级政府债务余额预计执行数160.25亿元，债务余额严格控制在限额199.6亿元内。</w:t>
      </w:r>
    </w:p>
    <w:p w:rsidR="00BA33B8" w:rsidRDefault="009E1EF5">
      <w:pPr>
        <w:spacing w:line="600" w:lineRule="exact"/>
        <w:ind w:firstLine="620"/>
        <w:rPr>
          <w:rFonts w:ascii="楷体" w:eastAsia="楷体" w:hAnsi="楷体" w:cs="楷体"/>
          <w:b/>
          <w:sz w:val="32"/>
          <w:szCs w:val="32"/>
        </w:rPr>
      </w:pPr>
      <w:r>
        <w:rPr>
          <w:rFonts w:ascii="楷体" w:eastAsia="楷体" w:hAnsi="楷体" w:cs="楷体" w:hint="eastAsia"/>
          <w:b/>
          <w:sz w:val="32"/>
          <w:szCs w:val="32"/>
        </w:rPr>
        <w:t>（二）地方政府债券发行情况</w:t>
      </w:r>
    </w:p>
    <w:p w:rsidR="00BA33B8" w:rsidRDefault="009E1EF5">
      <w:pPr>
        <w:spacing w:line="600" w:lineRule="exact"/>
        <w:ind w:firstLine="620"/>
        <w:rPr>
          <w:rFonts w:ascii="仿宋" w:eastAsia="仿宋" w:hAnsi="仿宋" w:cs="仿宋"/>
          <w:sz w:val="32"/>
          <w:szCs w:val="32"/>
        </w:rPr>
      </w:pPr>
      <w:r>
        <w:rPr>
          <w:rFonts w:ascii="仿宋" w:eastAsia="仿宋" w:hAnsi="仿宋" w:cs="仿宋" w:hint="eastAsia"/>
          <w:sz w:val="32"/>
          <w:szCs w:val="32"/>
        </w:rPr>
        <w:t>2020年全省发行地方政府债券1964.92亿元，其中：新</w:t>
      </w:r>
      <w:r>
        <w:rPr>
          <w:rFonts w:ascii="仿宋" w:eastAsia="仿宋" w:hAnsi="仿宋" w:cs="仿宋" w:hint="eastAsia"/>
          <w:sz w:val="32"/>
          <w:szCs w:val="32"/>
        </w:rPr>
        <w:lastRenderedPageBreak/>
        <w:t>增债券1585.72亿元、再融资债券379.2亿元。</w:t>
      </w:r>
    </w:p>
    <w:p w:rsidR="00BA33B8" w:rsidRDefault="009E1EF5">
      <w:pPr>
        <w:spacing w:line="600" w:lineRule="exact"/>
        <w:ind w:firstLine="620"/>
        <w:rPr>
          <w:rFonts w:ascii="楷体" w:eastAsia="楷体" w:hAnsi="楷体" w:cs="楷体"/>
          <w:b/>
          <w:sz w:val="32"/>
          <w:szCs w:val="32"/>
        </w:rPr>
      </w:pPr>
      <w:r>
        <w:rPr>
          <w:rFonts w:ascii="楷体" w:eastAsia="楷体" w:hAnsi="楷体" w:cs="楷体" w:hint="eastAsia"/>
          <w:b/>
          <w:sz w:val="32"/>
          <w:szCs w:val="32"/>
        </w:rPr>
        <w:t>（三）地方政府债券还本付息情况</w:t>
      </w:r>
    </w:p>
    <w:p w:rsidR="00BA33B8" w:rsidRDefault="009E1EF5">
      <w:pPr>
        <w:spacing w:line="600" w:lineRule="exact"/>
        <w:ind w:firstLine="620"/>
        <w:rPr>
          <w:rFonts w:ascii="仿宋" w:eastAsia="仿宋" w:hAnsi="仿宋" w:cs="仿宋"/>
          <w:sz w:val="32"/>
          <w:szCs w:val="32"/>
        </w:rPr>
      </w:pPr>
      <w:r>
        <w:rPr>
          <w:rFonts w:ascii="仿宋" w:eastAsia="仿宋" w:hAnsi="仿宋" w:cs="仿宋" w:hint="eastAsia"/>
          <w:sz w:val="32"/>
          <w:szCs w:val="32"/>
        </w:rPr>
        <w:t>2020年全省地方政府债券还本付息支出922.19亿元；省本级地方政府债券还本付息支出17.77亿元。</w:t>
      </w:r>
    </w:p>
    <w:p w:rsidR="00BA33B8" w:rsidRDefault="009E1EF5">
      <w:pPr>
        <w:spacing w:line="600" w:lineRule="exact"/>
        <w:ind w:firstLine="620"/>
        <w:rPr>
          <w:rFonts w:ascii="仿宋" w:eastAsia="仿宋" w:hAnsi="仿宋" w:cs="仿宋"/>
          <w:sz w:val="32"/>
          <w:szCs w:val="32"/>
        </w:rPr>
      </w:pPr>
      <w:r>
        <w:rPr>
          <w:rFonts w:ascii="仿宋" w:eastAsia="仿宋" w:hAnsi="仿宋" w:cs="仿宋" w:hint="eastAsia"/>
          <w:sz w:val="32"/>
          <w:szCs w:val="32"/>
        </w:rPr>
        <w:t>2021年全省安排偿还地方政府债券还本付息支出1188.98亿元。省本级安排偿还地方政府债券还本付息支出21.73亿元。</w:t>
      </w:r>
    </w:p>
    <w:p w:rsidR="00BA33B8" w:rsidRDefault="009E1EF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四、预算绩效开展情况</w:t>
      </w:r>
    </w:p>
    <w:p w:rsidR="00BA33B8" w:rsidRDefault="009E1EF5">
      <w:pPr>
        <w:spacing w:line="600" w:lineRule="exact"/>
        <w:ind w:firstLine="620"/>
        <w:rPr>
          <w:rFonts w:ascii="仿宋" w:eastAsia="仿宋" w:hAnsi="仿宋" w:cs="仿宋"/>
          <w:sz w:val="32"/>
          <w:szCs w:val="32"/>
        </w:rPr>
      </w:pPr>
      <w:r>
        <w:rPr>
          <w:rFonts w:ascii="仿宋" w:eastAsia="仿宋" w:hAnsi="仿宋" w:cs="仿宋" w:hint="eastAsia"/>
          <w:sz w:val="32"/>
          <w:szCs w:val="32"/>
        </w:rPr>
        <w:t>2020年，省级财政部门对社保、交通、农业、疫情防控等12个领域22个财政重点支出项目开展财政评价，涉及财政资金170.08亿元。其中，评价等级达到“优”的有6项，达到“良”的有13项，评为“中”的有2项，“差”的为1项。</w:t>
      </w:r>
    </w:p>
    <w:p w:rsidR="00BA33B8" w:rsidRDefault="00BA33B8">
      <w:pPr>
        <w:spacing w:line="600" w:lineRule="exact"/>
        <w:ind w:firstLineChars="200" w:firstLine="640"/>
        <w:rPr>
          <w:rFonts w:ascii="黑体" w:eastAsia="黑体" w:hAnsi="黑体" w:cs="黑体"/>
          <w:sz w:val="32"/>
          <w:szCs w:val="32"/>
        </w:rPr>
      </w:pPr>
    </w:p>
    <w:sectPr w:rsidR="00BA33B8" w:rsidSect="00BA33B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3B8" w:rsidRDefault="00BA33B8" w:rsidP="00BA33B8">
      <w:r>
        <w:separator/>
      </w:r>
    </w:p>
  </w:endnote>
  <w:endnote w:type="continuationSeparator" w:id="0">
    <w:p w:rsidR="00BA33B8" w:rsidRDefault="00BA33B8" w:rsidP="00BA3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3" w:usb1="080E0000" w:usb2="00000010" w:usb3="00000000" w:csb0="00040001" w:csb1="080E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84626"/>
      <w:docPartObj>
        <w:docPartGallery w:val="AutoText"/>
      </w:docPartObj>
    </w:sdtPr>
    <w:sdtContent>
      <w:p w:rsidR="00BA33B8" w:rsidRDefault="00E2759A">
        <w:pPr>
          <w:pStyle w:val="Footer"/>
          <w:ind w:firstLineChars="150" w:firstLine="270"/>
        </w:pPr>
        <w:r>
          <w:rPr>
            <w:rFonts w:ascii="宋体" w:eastAsia="宋体" w:hAnsiTheme="minorEastAsia" w:cs="宋体"/>
            <w:sz w:val="28"/>
            <w:szCs w:val="28"/>
          </w:rPr>
          <w:fldChar w:fldCharType="begin"/>
        </w:r>
        <w:r w:rsidR="009E1EF5">
          <w:rPr>
            <w:rFonts w:ascii="宋体" w:eastAsia="宋体" w:hAnsiTheme="minorEastAsia" w:cs="宋体"/>
            <w:sz w:val="28"/>
            <w:szCs w:val="28"/>
          </w:rPr>
          <w:instrText>PAGE   \* MERGEFORMAT</w:instrText>
        </w:r>
        <w:r>
          <w:rPr>
            <w:rFonts w:ascii="宋体" w:eastAsia="宋体" w:hAnsiTheme="minorEastAsia" w:cs="宋体"/>
            <w:sz w:val="28"/>
            <w:szCs w:val="28"/>
          </w:rPr>
          <w:fldChar w:fldCharType="separate"/>
        </w:r>
        <w:r w:rsidR="009E431D" w:rsidRPr="009E431D">
          <w:rPr>
            <w:rFonts w:ascii="宋体" w:eastAsia="宋体" w:hAnsiTheme="minorEastAsia" w:cs="宋体"/>
            <w:noProof/>
            <w:sz w:val="28"/>
            <w:szCs w:val="28"/>
            <w:lang w:val="zh-CN"/>
          </w:rPr>
          <w:t>14</w:t>
        </w:r>
        <w:r>
          <w:rPr>
            <w:rFonts w:ascii="宋体" w:eastAsia="宋体" w:hAnsiTheme="minorEastAsia" w:cs="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939877"/>
      <w:docPartObj>
        <w:docPartGallery w:val="AutoText"/>
      </w:docPartObj>
    </w:sdtPr>
    <w:sdtEndPr>
      <w:rPr>
        <w:rFonts w:ascii="宋体" w:eastAsia="宋体" w:hAnsiTheme="minorEastAsia" w:cs="宋体"/>
        <w:sz w:val="28"/>
        <w:szCs w:val="28"/>
      </w:rPr>
    </w:sdtEndPr>
    <w:sdtContent>
      <w:p w:rsidR="00BA33B8" w:rsidRDefault="00E2759A">
        <w:pPr>
          <w:pStyle w:val="Footer"/>
          <w:jc w:val="right"/>
          <w:rPr>
            <w:rFonts w:ascii="宋体" w:eastAsia="宋体" w:hAnsiTheme="minorEastAsia" w:cs="宋体"/>
            <w:sz w:val="28"/>
            <w:szCs w:val="28"/>
          </w:rPr>
        </w:pPr>
        <w:r>
          <w:rPr>
            <w:rFonts w:ascii="宋体" w:eastAsia="宋体" w:hAnsiTheme="minorEastAsia" w:cs="宋体"/>
            <w:sz w:val="28"/>
            <w:szCs w:val="28"/>
          </w:rPr>
          <w:fldChar w:fldCharType="begin"/>
        </w:r>
        <w:r w:rsidR="009E1EF5">
          <w:rPr>
            <w:rFonts w:ascii="宋体" w:eastAsia="宋体" w:hAnsiTheme="minorEastAsia" w:cs="宋体"/>
            <w:sz w:val="28"/>
            <w:szCs w:val="28"/>
          </w:rPr>
          <w:instrText>PAGE   \* MERGEFORMAT</w:instrText>
        </w:r>
        <w:r>
          <w:rPr>
            <w:rFonts w:ascii="宋体" w:eastAsia="宋体" w:hAnsiTheme="minorEastAsia" w:cs="宋体"/>
            <w:sz w:val="28"/>
            <w:szCs w:val="28"/>
          </w:rPr>
          <w:fldChar w:fldCharType="separate"/>
        </w:r>
        <w:r w:rsidR="009E431D" w:rsidRPr="009E431D">
          <w:rPr>
            <w:rFonts w:ascii="宋体" w:eastAsia="宋体" w:hAnsiTheme="minorEastAsia" w:cs="宋体"/>
            <w:noProof/>
            <w:sz w:val="28"/>
            <w:szCs w:val="28"/>
            <w:lang w:val="zh-CN"/>
          </w:rPr>
          <w:t>15</w:t>
        </w:r>
        <w:r>
          <w:rPr>
            <w:rFonts w:ascii="宋体" w:eastAsia="宋体" w:hAnsiTheme="minorEastAsia" w:cs="宋体"/>
            <w:sz w:val="28"/>
            <w:szCs w:val="28"/>
          </w:rPr>
          <w:fldChar w:fldCharType="end"/>
        </w:r>
        <w:r w:rsidR="009E1EF5">
          <w:rPr>
            <w:rFonts w:ascii="宋体" w:eastAsia="宋体" w:hAnsiTheme="minorEastAsia" w:cs="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3B8" w:rsidRDefault="00BA33B8" w:rsidP="00BA33B8">
      <w:r>
        <w:separator/>
      </w:r>
    </w:p>
  </w:footnote>
  <w:footnote w:type="continuationSeparator" w:id="0">
    <w:p w:rsidR="00BA33B8" w:rsidRDefault="00BA33B8" w:rsidP="00BA3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2FC"/>
    <w:multiLevelType w:val="multilevel"/>
    <w:tmpl w:val="79366C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4E085453"/>
    <w:multiLevelType w:val="multilevel"/>
    <w:tmpl w:val="A9467C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doNotUseIndentAsNumberingTabStop/>
  </w:compat>
  <w:rsids>
    <w:rsidRoot w:val="00BA33B8"/>
    <w:rsid w:val="009E1EF5"/>
    <w:rsid w:val="009E431D"/>
    <w:rsid w:val="00BA33B8"/>
    <w:rsid w:val="00E2759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B8"/>
    <w:pPr>
      <w:widowControl w:val="0"/>
      <w:jc w:val="both"/>
    </w:pPr>
    <w:rPr>
      <w:rFonts w:ascii="Calibr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rsid w:val="00BA33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Footer">
    <w:name w:val="Footer"/>
    <w:basedOn w:val="a"/>
    <w:unhideWhenUsed/>
    <w:qFormat/>
    <w:rsid w:val="00BA33B8"/>
    <w:pPr>
      <w:tabs>
        <w:tab w:val="center" w:pos="4153"/>
        <w:tab w:val="right" w:pos="8306"/>
      </w:tabs>
      <w:snapToGrid w:val="0"/>
      <w:jc w:val="left"/>
    </w:pPr>
    <w:rPr>
      <w:sz w:val="18"/>
      <w:szCs w:val="18"/>
    </w:rPr>
  </w:style>
  <w:style w:type="paragraph" w:customStyle="1" w:styleId="Header">
    <w:name w:val="Header"/>
    <w:basedOn w:val="a"/>
    <w:unhideWhenUsed/>
    <w:rsid w:val="00BA33B8"/>
    <w:pPr>
      <w:pBdr>
        <w:bottom w:val="single" w:sz="6" w:space="1" w:color="000000"/>
      </w:pBdr>
      <w:tabs>
        <w:tab w:val="center" w:pos="4153"/>
        <w:tab w:val="right" w:pos="8306"/>
      </w:tabs>
      <w:snapToGrid w:val="0"/>
      <w:jc w:val="center"/>
    </w:pPr>
    <w:rPr>
      <w:sz w:val="18"/>
      <w:szCs w:val="18"/>
    </w:rPr>
  </w:style>
  <w:style w:type="character" w:styleId="a4">
    <w:name w:val="Strong"/>
    <w:basedOn w:val="a0"/>
    <w:qFormat/>
    <w:rsid w:val="00BA33B8"/>
    <w:rPr>
      <w:b/>
      <w:bCs/>
    </w:rPr>
  </w:style>
  <w:style w:type="character" w:styleId="a5">
    <w:name w:val="FollowedHyperlink"/>
    <w:basedOn w:val="a0"/>
    <w:unhideWhenUsed/>
    <w:rsid w:val="00BA33B8"/>
    <w:rPr>
      <w:color w:val="800080"/>
      <w:u w:val="none"/>
      <w:bdr w:val="none" w:sz="0" w:space="0" w:color="auto"/>
    </w:rPr>
  </w:style>
  <w:style w:type="character" w:styleId="a6">
    <w:name w:val="Hyperlink"/>
    <w:basedOn w:val="a0"/>
    <w:unhideWhenUsed/>
    <w:rsid w:val="00BA33B8"/>
    <w:rPr>
      <w:color w:val="0000FF"/>
      <w:u w:val="none"/>
    </w:rPr>
  </w:style>
  <w:style w:type="character" w:styleId="HTML">
    <w:name w:val="HTML Code"/>
    <w:basedOn w:val="a0"/>
    <w:unhideWhenUsed/>
    <w:rsid w:val="00BA33B8"/>
    <w:rPr>
      <w:rFonts w:ascii="Courier New" w:eastAsia="Courier New" w:hAnsi="Courier New" w:cs="Courier New"/>
      <w:sz w:val="21"/>
      <w:szCs w:val="21"/>
      <w:bdr w:val="single" w:sz="2" w:space="0" w:color="B2DA3A"/>
      <w:shd w:val="clear" w:color="auto" w:fill="EDFFB8"/>
    </w:rPr>
  </w:style>
  <w:style w:type="character" w:customStyle="1" w:styleId="Char">
    <w:name w:val="页眉 Char"/>
    <w:basedOn w:val="a0"/>
    <w:rsid w:val="00BA33B8"/>
    <w:rPr>
      <w:sz w:val="18"/>
      <w:szCs w:val="18"/>
    </w:rPr>
  </w:style>
  <w:style w:type="character" w:customStyle="1" w:styleId="Char0">
    <w:name w:val="页脚 Char"/>
    <w:basedOn w:val="a0"/>
    <w:qFormat/>
    <w:rsid w:val="00BA33B8"/>
    <w:rPr>
      <w:sz w:val="18"/>
      <w:szCs w:val="18"/>
    </w:rPr>
  </w:style>
  <w:style w:type="character" w:customStyle="1" w:styleId="folder">
    <w:name w:val="folder"/>
    <w:basedOn w:val="a0"/>
    <w:rsid w:val="00BA33B8"/>
  </w:style>
  <w:style w:type="character" w:customStyle="1" w:styleId="folder1">
    <w:name w:val="folder1"/>
    <w:basedOn w:val="a0"/>
    <w:rsid w:val="00BA33B8"/>
    <w:rPr>
      <w:color w:val="FF0000"/>
    </w:rPr>
  </w:style>
  <w:style w:type="character" w:customStyle="1" w:styleId="folder2">
    <w:name w:val="folder2"/>
    <w:basedOn w:val="a0"/>
    <w:rsid w:val="00BA33B8"/>
    <w:rPr>
      <w:bdr w:val="none" w:sz="0" w:space="0" w:color="auto"/>
    </w:rPr>
  </w:style>
  <w:style w:type="character" w:customStyle="1" w:styleId="folder3">
    <w:name w:val="folder3"/>
    <w:basedOn w:val="a0"/>
    <w:rsid w:val="00BA33B8"/>
  </w:style>
  <w:style w:type="character" w:customStyle="1" w:styleId="legend">
    <w:name w:val="legend"/>
    <w:basedOn w:val="a0"/>
    <w:rsid w:val="00BA33B8"/>
    <w:rPr>
      <w:rFonts w:ascii="Arial" w:eastAsia="Arial" w:hAnsi="Arial" w:cs="Arial"/>
      <w:b/>
      <w:color w:val="73B304"/>
      <w:sz w:val="21"/>
      <w:szCs w:val="21"/>
      <w:bdr w:val="none" w:sz="0" w:space="0" w:color="auto"/>
      <w:shd w:val="clear" w:color="auto" w:fill="FFFFFF"/>
    </w:rPr>
  </w:style>
  <w:style w:type="character" w:customStyle="1" w:styleId="xhegend">
    <w:name w:val="xhegend"/>
    <w:basedOn w:val="a0"/>
    <w:rsid w:val="00BA33B8"/>
  </w:style>
  <w:style w:type="character" w:customStyle="1" w:styleId="xhegstart">
    <w:name w:val="xhegstart"/>
    <w:basedOn w:val="a0"/>
    <w:rsid w:val="00BA33B8"/>
  </w:style>
  <w:style w:type="character" w:customStyle="1" w:styleId="hover25">
    <w:name w:val="hover25"/>
    <w:basedOn w:val="a0"/>
    <w:rsid w:val="00BA33B8"/>
    <w:rPr>
      <w:color w:val="FFFFFF"/>
    </w:rPr>
  </w:style>
  <w:style w:type="character" w:customStyle="1" w:styleId="hover26">
    <w:name w:val="hover26"/>
    <w:basedOn w:val="a0"/>
    <w:rsid w:val="00BA33B8"/>
    <w:rPr>
      <w:color w:val="FF0000"/>
    </w:rPr>
  </w:style>
  <w:style w:type="character" w:customStyle="1" w:styleId="file">
    <w:name w:val="file"/>
    <w:basedOn w:val="a0"/>
    <w:rsid w:val="00BA33B8"/>
    <w:rPr>
      <w:bdr w:val="none" w:sz="0" w:space="0" w:color="auto"/>
    </w:rPr>
  </w:style>
  <w:style w:type="character" w:customStyle="1" w:styleId="sharedfolder">
    <w:name w:val="sharedfolder"/>
    <w:basedOn w:val="a0"/>
    <w:rsid w:val="00BA33B8"/>
  </w:style>
  <w:style w:type="character" w:customStyle="1" w:styleId="sharedfolder1">
    <w:name w:val="sharedfolder1"/>
    <w:basedOn w:val="a0"/>
    <w:rsid w:val="00BA33B8"/>
  </w:style>
  <w:style w:type="character" w:customStyle="1" w:styleId="hover28">
    <w:name w:val="hover28"/>
    <w:basedOn w:val="a0"/>
    <w:rsid w:val="00BA33B8"/>
    <w:rPr>
      <w:color w:val="FF0000"/>
    </w:rPr>
  </w:style>
  <w:style w:type="character" w:customStyle="1" w:styleId="hover29">
    <w:name w:val="hover29"/>
    <w:basedOn w:val="a0"/>
    <w:rsid w:val="00BA33B8"/>
    <w:rPr>
      <w:color w:val="FFFFFF"/>
    </w:rPr>
  </w:style>
  <w:style w:type="paragraph" w:styleId="a7">
    <w:name w:val="Balloon Text"/>
    <w:basedOn w:val="a"/>
    <w:semiHidden/>
    <w:unhideWhenUsed/>
    <w:rsid w:val="00BA33B8"/>
    <w:rPr>
      <w:sz w:val="18"/>
      <w:szCs w:val="18"/>
    </w:rPr>
  </w:style>
  <w:style w:type="character" w:customStyle="1" w:styleId="Char1">
    <w:name w:val="批注框文本 Char"/>
    <w:basedOn w:val="a0"/>
    <w:semiHidden/>
    <w:rsid w:val="00BA33B8"/>
    <w:rPr>
      <w:rFonts w:ascii="Calibri" w:eastAsiaTheme="minorEastAsia" w:hAnsiTheme="minorHAnsi" w:cstheme="minorBidi"/>
      <w:sz w:val="18"/>
      <w:szCs w:val="18"/>
    </w:rPr>
  </w:style>
  <w:style w:type="paragraph" w:styleId="a8">
    <w:name w:val="header"/>
    <w:basedOn w:val="a"/>
    <w:link w:val="Char10"/>
    <w:uiPriority w:val="99"/>
    <w:unhideWhenUsed/>
    <w:rsid w:val="009E1EF5"/>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8"/>
    <w:uiPriority w:val="99"/>
    <w:rsid w:val="009E1EF5"/>
    <w:rPr>
      <w:rFonts w:ascii="Calibri" w:eastAsiaTheme="minorEastAsia" w:hAnsiTheme="minorHAnsi" w:cstheme="minorBidi"/>
      <w:sz w:val="18"/>
      <w:szCs w:val="18"/>
    </w:rPr>
  </w:style>
  <w:style w:type="paragraph" w:styleId="a9">
    <w:name w:val="footer"/>
    <w:basedOn w:val="a"/>
    <w:link w:val="Char11"/>
    <w:uiPriority w:val="99"/>
    <w:unhideWhenUsed/>
    <w:qFormat/>
    <w:rsid w:val="009E1EF5"/>
    <w:pPr>
      <w:tabs>
        <w:tab w:val="center" w:pos="4153"/>
        <w:tab w:val="right" w:pos="8306"/>
      </w:tabs>
      <w:snapToGrid w:val="0"/>
      <w:jc w:val="left"/>
    </w:pPr>
    <w:rPr>
      <w:sz w:val="18"/>
      <w:szCs w:val="18"/>
    </w:rPr>
  </w:style>
  <w:style w:type="character" w:customStyle="1" w:styleId="Char11">
    <w:name w:val="页脚 Char1"/>
    <w:basedOn w:val="a0"/>
    <w:link w:val="a9"/>
    <w:uiPriority w:val="99"/>
    <w:rsid w:val="009E1EF5"/>
    <w:rPr>
      <w:rFonts w:ascii="Calibr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6515</Characters>
  <Application>Microsoft Office Word</Application>
  <DocSecurity>0</DocSecurity>
  <Lines>54</Lines>
  <Paragraphs>15</Paragraphs>
  <ScaleCrop>false</ScaleCrop>
  <Company>Microsoft</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null</cp:lastModifiedBy>
  <cp:revision>3</cp:revision>
  <cp:lastPrinted>2021-02-10T09:52:00Z</cp:lastPrinted>
  <dcterms:created xsi:type="dcterms:W3CDTF">2021-02-10T09:52:00Z</dcterms:created>
  <dcterms:modified xsi:type="dcterms:W3CDTF">2021-02-10T09:52:00Z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