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widowControl w:val="1"/>
        <w:adjustRightInd w:val="0"/>
        <w:snapToGrid w:val="0"/>
        <w:spacing w:line="360" w:lineRule="auto"/>
        <w:rPr>
          <w:rFonts w:ascii="仿宋" w:eastAsia="仿宋" w:hAnsi="仿宋" w:cs="宋体"/>
          <w:bCs/>
          <w:color w:val="000000"/>
          <w:sz w:val="32"/>
          <w:szCs w:val="32"/>
        </w:rPr>
      </w:pPr>
      <w:r>
        <w:rPr>
          <w:rFonts w:ascii="仿宋" w:eastAsia="仿宋" w:hAnsi="仿宋" w:cs="宋体" w:hint="eastAsia"/>
          <w:bCs/>
          <w:color w:val="000000"/>
          <w:sz w:val="32"/>
          <w:szCs w:val="32"/>
        </w:rPr>
        <w:t xml:space="preserve">附件</w:t>
      </w:r>
      <w:r>
        <w:rPr>
          <w:rFonts w:ascii="仿宋" w:eastAsia="仿宋" w:hAnsi="仿宋" w:cs="宋体" w:hint="eastAsia"/>
          <w:bCs/>
          <w:color w:val="000000"/>
          <w:sz w:val="32"/>
          <w:szCs w:val="32"/>
        </w:rPr>
        <w:t xml:space="preserve">3</w:t>
      </w:r>
    </w:p>
    <w:p>
      <w:pPr>
        <w:widowControl w:val="1"/>
        <w:adjustRightInd w:val="0"/>
        <w:snapToGrid w:val="0"/>
        <w:spacing w:before="156" w:after="156" w:line="360" w:lineRule="auto"/>
        <w:jc w:val="center"/>
        <w:rPr>
          <w:rFonts w:ascii="方正小标宋简体" w:eastAsia="方正小标宋简体" w:hAnsi="黑体" w:cs="宋体"/>
          <w:bCs/>
          <w:color w:val="000000"/>
          <w:sz w:val="44"/>
          <w:szCs w:val="44"/>
        </w:rPr>
      </w:pPr>
      <w:r>
        <w:rPr>
          <w:rFonts w:ascii="方正小标宋简体" w:eastAsia="方正小标宋简体" w:hAnsi="黑体" w:cs="宋体" w:hint="eastAsia"/>
          <w:bCs/>
          <w:color w:val="000000"/>
          <w:sz w:val="44"/>
          <w:szCs w:val="44"/>
        </w:rPr>
        <w:t xml:space="preserve">20</w:t>
      </w:r>
      <w:r>
        <w:rPr>
          <w:rFonts w:ascii="方正小标宋简体" w:eastAsia="方正小标宋简体" w:hAnsi="黑体" w:cs="宋体" w:hint="eastAsia"/>
          <w:bCs/>
          <w:color w:val="000000"/>
          <w:sz w:val="44"/>
          <w:szCs w:val="44"/>
        </w:rPr>
        <w:t xml:space="preserve">2</w:t>
      </w:r>
      <w:r>
        <w:rPr>
          <w:rFonts w:ascii="方正小标宋简体" w:eastAsia="方正小标宋简体" w:hAnsi="黑体" w:cs="宋体" w:hint="eastAsia"/>
          <w:bCs/>
          <w:color w:val="000000"/>
          <w:sz w:val="44"/>
          <w:szCs w:val="44"/>
        </w:rPr>
        <w:t xml:space="preserve">1</w:t>
      </w:r>
      <w:r>
        <w:rPr>
          <w:rFonts w:ascii="方正小标宋简体" w:eastAsia="方正小标宋简体" w:hAnsi="黑体" w:cs="宋体" w:hint="eastAsia"/>
          <w:bCs/>
          <w:color w:val="000000"/>
          <w:sz w:val="44"/>
          <w:szCs w:val="44"/>
        </w:rPr>
        <w:t xml:space="preserve">年</w:t>
      </w:r>
      <w:r>
        <w:rPr>
          <w:rFonts w:ascii="方正小标宋简体" w:eastAsia="方正小标宋简体" w:hAnsi="黑体" w:cs="宋体" w:hint="eastAsia"/>
          <w:bCs/>
          <w:color w:val="000000"/>
          <w:sz w:val="44"/>
          <w:szCs w:val="44"/>
        </w:rPr>
        <w:t xml:space="preserve">省</w:t>
      </w:r>
      <w:r>
        <w:rPr>
          <w:rFonts w:ascii="方正小标宋简体" w:eastAsia="方正小标宋简体" w:hAnsi="黑体" w:cs="宋体" w:hint="eastAsia"/>
          <w:bCs/>
          <w:color w:val="000000"/>
          <w:sz w:val="44"/>
          <w:szCs w:val="44"/>
        </w:rPr>
        <w:t xml:space="preserve">级</w:t>
      </w:r>
      <w:r>
        <w:rPr>
          <w:rFonts w:ascii="方正小标宋简体" w:eastAsia="方正小标宋简体" w:hAnsi="黑体" w:cs="宋体" w:hint="eastAsia"/>
          <w:bCs/>
          <w:color w:val="000000"/>
          <w:sz w:val="44"/>
          <w:szCs w:val="44"/>
        </w:rPr>
        <w:t xml:space="preserve">“三公”经费</w:t>
      </w:r>
      <w:r>
        <w:rPr>
          <w:rFonts w:ascii="方正小标宋简体" w:eastAsia="方正小标宋简体" w:hAnsi="黑体" w:cs="宋体" w:hint="eastAsia"/>
          <w:bCs/>
          <w:color w:val="000000"/>
          <w:sz w:val="44"/>
          <w:szCs w:val="44"/>
        </w:rPr>
        <w:t xml:space="preserve">预算</w:t>
      </w:r>
      <w:r>
        <w:rPr>
          <w:rFonts w:ascii="方正小标宋简体" w:eastAsia="方正小标宋简体" w:hAnsi="黑体" w:cs="宋体" w:hint="eastAsia"/>
          <w:bCs/>
          <w:color w:val="000000"/>
          <w:sz w:val="44"/>
          <w:szCs w:val="44"/>
        </w:rPr>
        <w:t xml:space="preserve">安排</w:t>
      </w:r>
      <w:r>
        <w:rPr>
          <w:rFonts w:ascii="方正小标宋简体" w:eastAsia="方正小标宋简体" w:hAnsi="黑体" w:cs="宋体" w:hint="eastAsia"/>
          <w:bCs/>
          <w:color w:val="000000"/>
          <w:sz w:val="44"/>
          <w:szCs w:val="44"/>
        </w:rPr>
        <w:t xml:space="preserve">情况</w:t>
      </w:r>
    </w:p>
    <w:p>
      <w:pPr>
        <w:widowControl w:val="1"/>
        <w:adjustRightInd w:val="0"/>
        <w:snapToGrid w:val="0"/>
        <w:spacing w:line="360" w:lineRule="auto"/>
        <w:ind w:firstLine="660"/>
        <w:rPr>
          <w:rFonts w:ascii="仿宋" w:eastAsia="仿宋" w:hAnsi="仿宋" w:cs="宋体"/>
          <w:color w:val="000000"/>
          <w:sz w:val="32"/>
          <w:szCs w:val="32"/>
          <w:lang w:val="zh-CN"/>
        </w:rPr>
      </w:pPr>
      <w:r>
        <w:rPr>
          <w:rFonts w:ascii="仿宋" w:eastAsia="仿宋" w:hAnsi="仿宋" w:cs="宋体" w:hint="eastAsia"/>
          <w:sz w:val="32"/>
          <w:szCs w:val="32"/>
        </w:rPr>
        <w:t xml:space="preserve">根据国务院关于推进政府预算信息公开的决策部署和省政府工作安排，经福建省财政厅汇总，</w:t>
      </w:r>
      <w:r>
        <w:rPr>
          <w:rFonts w:ascii="仿宋" w:eastAsia="仿宋" w:hAnsi="仿宋" w:cs="宋体" w:hint="eastAsia"/>
          <w:sz w:val="32"/>
          <w:szCs w:val="32"/>
        </w:rPr>
        <w:t xml:space="preserve">20</w:t>
      </w:r>
      <w:r>
        <w:rPr>
          <w:rFonts w:ascii="仿宋" w:eastAsia="仿宋" w:hAnsi="仿宋" w:cs="宋体" w:hint="eastAsia"/>
          <w:sz w:val="32"/>
          <w:szCs w:val="32"/>
        </w:rPr>
        <w:t xml:space="preserve">2</w:t>
      </w:r>
      <w:r>
        <w:rPr>
          <w:rFonts w:ascii="仿宋" w:eastAsia="仿宋" w:hAnsi="仿宋" w:cs="宋体" w:hint="eastAsia"/>
          <w:sz w:val="32"/>
          <w:szCs w:val="32"/>
        </w:rPr>
        <w:t xml:space="preserve">1</w:t>
      </w:r>
      <w:r>
        <w:rPr>
          <w:rFonts w:ascii="仿宋" w:eastAsia="仿宋" w:hAnsi="仿宋" w:cs="宋体" w:hint="eastAsia"/>
          <w:sz w:val="32"/>
          <w:szCs w:val="32"/>
        </w:rPr>
        <w:t xml:space="preserve">年</w:t>
      </w:r>
      <w:r>
        <w:rPr>
          <w:rFonts w:ascii="仿宋" w:eastAsia="仿宋" w:hAnsi="仿宋" w:cs="宋体" w:hint="eastAsia"/>
          <w:sz w:val="32"/>
          <w:szCs w:val="32"/>
        </w:rPr>
        <w:t xml:space="preserve">福建省省本级使用一般公共预算拨款安排的“三公”经费预算数为</w:t>
      </w:r>
      <w:r>
        <w:rPr>
          <w:rFonts w:ascii="仿宋" w:eastAsia="仿宋" w:hAnsi="仿宋" w:cs="宋体" w:hint="eastAsia"/>
          <w:sz w:val="32"/>
          <w:szCs w:val="32"/>
        </w:rPr>
        <w:t xml:space="preserve">4.08</w:t>
      </w:r>
      <w:r>
        <w:rPr>
          <w:rFonts w:ascii="仿宋" w:eastAsia="仿宋" w:hAnsi="仿宋" w:cs="宋体" w:hint="eastAsia"/>
          <w:sz w:val="32"/>
          <w:szCs w:val="32"/>
        </w:rPr>
        <w:t xml:space="preserve">亿元，</w:t>
      </w:r>
      <w:r>
        <w:rPr>
          <w:rFonts w:ascii="仿宋" w:eastAsia="仿宋" w:hAnsi="仿宋" w:cs="宋体" w:hint="eastAsia"/>
          <w:sz w:val="32"/>
          <w:szCs w:val="32"/>
        </w:rPr>
        <w:t xml:space="preserve">同</w:t>
      </w:r>
      <w:r>
        <w:rPr>
          <w:rFonts w:ascii="仿宋" w:eastAsia="仿宋" w:hAnsi="仿宋" w:cs="宋体" w:hint="eastAsia"/>
          <w:sz w:val="32"/>
          <w:szCs w:val="32"/>
          <w:lang w:val="zh-CN"/>
        </w:rPr>
        <w:t xml:space="preserve">比上年</w:t>
      </w:r>
      <w:r>
        <w:rPr>
          <w:rFonts w:ascii="仿宋" w:eastAsia="仿宋" w:hAnsi="仿宋" w:cs="宋体" w:hint="eastAsia"/>
          <w:sz w:val="32"/>
          <w:szCs w:val="32"/>
        </w:rPr>
        <w:t xml:space="preserve">预算数</w:t>
      </w:r>
      <w:r>
        <w:rPr>
          <w:rFonts w:ascii="仿宋" w:eastAsia="仿宋" w:hAnsi="仿宋" w:cs="宋体" w:hint="eastAsia"/>
          <w:sz w:val="32"/>
          <w:szCs w:val="32"/>
          <w:lang w:val="zh-CN"/>
        </w:rPr>
        <w:t xml:space="preserve">减少0.</w:t>
      </w:r>
      <w:r>
        <w:rPr>
          <w:rFonts w:ascii="仿宋" w:eastAsia="仿宋" w:hAnsi="仿宋" w:cs="宋体" w:hint="eastAsia"/>
          <w:sz w:val="32"/>
          <w:szCs w:val="32"/>
          <w:lang w:val="zh-CN"/>
        </w:rPr>
        <w:t xml:space="preserve">11</w:t>
      </w:r>
      <w:r>
        <w:rPr>
          <w:rFonts w:ascii="仿宋" w:eastAsia="仿宋" w:hAnsi="仿宋" w:cs="宋体" w:hint="eastAsia"/>
          <w:sz w:val="32"/>
          <w:szCs w:val="32"/>
          <w:lang w:val="zh-CN"/>
        </w:rPr>
        <w:t xml:space="preserve">亿元</w:t>
      </w:r>
      <w:r>
        <w:rPr>
          <w:rFonts w:ascii="仿宋" w:eastAsia="仿宋" w:hAnsi="仿宋" w:cs="宋体" w:hint="eastAsia"/>
          <w:color w:val="000000"/>
          <w:sz w:val="32"/>
          <w:szCs w:val="32"/>
          <w:lang w:val="zh-CN"/>
        </w:rPr>
        <w:t xml:space="preserve">，主要是</w:t>
      </w:r>
      <w:r>
        <w:rPr>
          <w:rFonts w:ascii="仿宋" w:eastAsia="仿宋" w:hAnsi="仿宋" w:cs="宋体" w:hint="eastAsia"/>
          <w:color w:val="000000"/>
          <w:sz w:val="32"/>
          <w:szCs w:val="32"/>
          <w:lang w:val="zh-CN"/>
        </w:rPr>
        <w:t xml:space="preserve">贯彻</w:t>
      </w:r>
      <w:r>
        <w:rPr>
          <w:rFonts w:ascii="仿宋" w:eastAsia="仿宋" w:hAnsi="仿宋" w:cs="宋体" w:hint="eastAsia"/>
          <w:color w:val="000000"/>
          <w:sz w:val="32"/>
          <w:szCs w:val="32"/>
          <w:lang w:val="zh-CN"/>
        </w:rPr>
        <w:t xml:space="preserve">中央及省委和省政府有关党政机关过紧日子的要求</w:t>
      </w:r>
      <w:r>
        <w:rPr>
          <w:rFonts w:ascii="仿宋" w:eastAsia="仿宋" w:hAnsi="仿宋" w:cs="宋体" w:hint="eastAsia"/>
          <w:color w:val="000000"/>
          <w:sz w:val="32"/>
          <w:szCs w:val="32"/>
          <w:lang w:val="zh-CN"/>
        </w:rPr>
        <w:t xml:space="preserve">，</w:t>
      </w:r>
      <w:r>
        <w:rPr>
          <w:rFonts w:ascii="仿宋" w:eastAsia="仿宋" w:hAnsi="仿宋" w:cs="宋体" w:hint="eastAsia"/>
          <w:color w:val="000000"/>
          <w:sz w:val="32"/>
          <w:szCs w:val="32"/>
          <w:lang w:val="zh-CN"/>
        </w:rPr>
        <w:t xml:space="preserve">严控“三公”经费预算。</w:t>
      </w:r>
      <w:r>
        <w:rPr>
          <w:rFonts w:ascii="仿宋" w:eastAsia="仿宋" w:hAnsi="仿宋" w:cs="宋体" w:hint="eastAsia"/>
          <w:color w:val="000000"/>
          <w:sz w:val="32"/>
          <w:szCs w:val="32"/>
          <w:lang w:val="zh-CN"/>
        </w:rPr>
        <w:t xml:space="preserve">其中，因公出国（境）经费0.</w:t>
      </w:r>
      <w:r>
        <w:rPr>
          <w:rFonts w:ascii="仿宋" w:eastAsia="仿宋" w:hAnsi="仿宋" w:cs="宋体" w:hint="eastAsia"/>
          <w:color w:val="000000"/>
          <w:sz w:val="32"/>
          <w:szCs w:val="32"/>
          <w:lang w:val="zh-CN"/>
        </w:rPr>
        <w:t xml:space="preserve">64</w:t>
      </w:r>
      <w:r>
        <w:rPr>
          <w:rFonts w:ascii="仿宋" w:eastAsia="仿宋" w:hAnsi="仿宋" w:cs="宋体" w:hint="eastAsia"/>
          <w:color w:val="000000"/>
          <w:sz w:val="32"/>
          <w:szCs w:val="32"/>
          <w:lang w:val="zh-CN"/>
        </w:rPr>
        <w:t xml:space="preserve">亿元，</w:t>
      </w:r>
      <w:r>
        <w:rPr>
          <w:rFonts w:ascii="仿宋" w:eastAsia="仿宋" w:hAnsi="仿宋" w:cs="宋体" w:hint="eastAsia"/>
          <w:sz w:val="32"/>
          <w:szCs w:val="32"/>
        </w:rPr>
        <w:t xml:space="preserve">与上年</w:t>
      </w:r>
      <w:r>
        <w:rPr>
          <w:rFonts w:ascii="仿宋" w:eastAsia="仿宋" w:hAnsi="仿宋" w:cs="宋体" w:hint="eastAsia"/>
          <w:sz w:val="32"/>
          <w:szCs w:val="32"/>
        </w:rPr>
        <w:t xml:space="preserve">预算数</w:t>
      </w:r>
      <w:r>
        <w:rPr>
          <w:rFonts w:ascii="仿宋" w:eastAsia="仿宋" w:hAnsi="仿宋" w:cs="宋体" w:hint="eastAsia"/>
          <w:sz w:val="32"/>
          <w:szCs w:val="32"/>
        </w:rPr>
        <w:t xml:space="preserve">持平</w:t>
      </w:r>
      <w:r>
        <w:rPr>
          <w:rFonts w:ascii="仿宋" w:eastAsia="仿宋" w:hAnsi="仿宋" w:cs="宋体" w:hint="eastAsia"/>
          <w:color w:val="000000"/>
          <w:sz w:val="32"/>
          <w:szCs w:val="32"/>
          <w:lang w:val="zh-CN"/>
        </w:rPr>
        <w:t xml:space="preserve">；公务接待费</w:t>
      </w:r>
      <w:r>
        <w:rPr>
          <w:rFonts w:ascii="仿宋" w:eastAsia="仿宋" w:hAnsi="仿宋" w:cs="宋体" w:hint="eastAsia"/>
          <w:color w:val="000000"/>
          <w:sz w:val="32"/>
          <w:szCs w:val="32"/>
          <w:lang w:val="zh-CN"/>
        </w:rPr>
        <w:t xml:space="preserve">0.89</w:t>
      </w:r>
      <w:r>
        <w:rPr>
          <w:rFonts w:ascii="仿宋" w:eastAsia="仿宋" w:hAnsi="仿宋" w:cs="宋体" w:hint="eastAsia"/>
          <w:color w:val="000000"/>
          <w:sz w:val="32"/>
          <w:szCs w:val="32"/>
          <w:lang w:val="zh-CN"/>
        </w:rPr>
        <w:t xml:space="preserve">亿</w:t>
      </w:r>
      <w:bookmarkStart w:id="2" w:name="_GoBack"/>
      <w:bookmarkEnd w:id="2"/>
      <w:r>
        <w:rPr>
          <w:rFonts w:ascii="仿宋" w:eastAsia="仿宋" w:hAnsi="仿宋" w:cs="宋体" w:hint="eastAsia"/>
          <w:color w:val="000000"/>
          <w:sz w:val="32"/>
          <w:szCs w:val="32"/>
          <w:lang w:val="zh-CN"/>
        </w:rPr>
        <w:t xml:space="preserve">元，</w:t>
      </w:r>
      <w:r>
        <w:rPr>
          <w:rFonts w:ascii="仿宋" w:eastAsia="仿宋" w:hAnsi="仿宋" w:cs="宋体" w:hint="eastAsia"/>
          <w:sz w:val="32"/>
          <w:szCs w:val="32"/>
        </w:rPr>
        <w:t xml:space="preserve">同</w:t>
      </w:r>
      <w:r>
        <w:rPr>
          <w:rFonts w:ascii="仿宋" w:eastAsia="仿宋" w:hAnsi="仿宋" w:cs="宋体" w:hint="eastAsia"/>
          <w:color w:val="000000"/>
          <w:sz w:val="32"/>
          <w:szCs w:val="32"/>
          <w:lang w:val="zh-CN"/>
        </w:rPr>
        <w:t xml:space="preserve">比</w:t>
      </w:r>
      <w:r>
        <w:rPr>
          <w:rFonts w:ascii="仿宋" w:eastAsia="仿宋" w:hAnsi="仿宋" w:cs="宋体" w:hint="eastAsia"/>
          <w:color w:val="000000"/>
          <w:sz w:val="32"/>
          <w:szCs w:val="32"/>
          <w:lang w:val="zh-CN"/>
        </w:rPr>
        <w:t xml:space="preserve">减少</w:t>
      </w:r>
      <w:r>
        <w:rPr>
          <w:rFonts w:ascii="仿宋" w:eastAsia="仿宋" w:hAnsi="仿宋" w:cs="宋体" w:hint="eastAsia"/>
          <w:color w:val="000000"/>
          <w:sz w:val="32"/>
          <w:szCs w:val="32"/>
          <w:lang w:val="zh-CN"/>
        </w:rPr>
        <w:t xml:space="preserve">0.09</w:t>
      </w:r>
      <w:r>
        <w:rPr>
          <w:rFonts w:ascii="仿宋" w:eastAsia="仿宋" w:hAnsi="仿宋" w:cs="宋体" w:hint="eastAsia"/>
          <w:color w:val="000000"/>
          <w:sz w:val="32"/>
          <w:szCs w:val="32"/>
          <w:lang w:val="zh-CN"/>
        </w:rPr>
        <w:t xml:space="preserve">亿元；公务用车购置经费0.</w:t>
      </w:r>
      <w:r>
        <w:rPr>
          <w:rFonts w:ascii="仿宋" w:eastAsia="仿宋" w:hAnsi="仿宋" w:cs="宋体" w:hint="eastAsia"/>
          <w:color w:val="000000"/>
          <w:sz w:val="32"/>
          <w:szCs w:val="32"/>
          <w:lang w:val="zh-CN"/>
        </w:rPr>
        <w:t xml:space="preserve">5</w:t>
      </w:r>
      <w:r>
        <w:rPr>
          <w:rFonts w:ascii="仿宋" w:eastAsia="仿宋" w:hAnsi="仿宋" w:cs="宋体" w:hint="eastAsia"/>
          <w:color w:val="000000"/>
          <w:sz w:val="32"/>
          <w:szCs w:val="32"/>
          <w:lang w:val="zh-CN"/>
        </w:rPr>
        <w:t xml:space="preserve">3</w:t>
      </w:r>
      <w:r>
        <w:rPr>
          <w:rFonts w:ascii="仿宋" w:eastAsia="仿宋" w:hAnsi="仿宋" w:cs="宋体" w:hint="eastAsia"/>
          <w:color w:val="000000"/>
          <w:sz w:val="32"/>
          <w:szCs w:val="32"/>
          <w:lang w:val="zh-CN"/>
        </w:rPr>
        <w:t xml:space="preserve">亿元，</w:t>
      </w:r>
      <w:r>
        <w:rPr>
          <w:rFonts w:ascii="仿宋" w:eastAsia="仿宋" w:hAnsi="仿宋" w:cs="宋体" w:hint="eastAsia"/>
          <w:sz w:val="32"/>
          <w:szCs w:val="32"/>
        </w:rPr>
        <w:t xml:space="preserve">与上年</w:t>
      </w:r>
      <w:r>
        <w:rPr>
          <w:rFonts w:ascii="仿宋" w:eastAsia="仿宋" w:hAnsi="仿宋" w:cs="宋体" w:hint="eastAsia"/>
          <w:sz w:val="32"/>
          <w:szCs w:val="32"/>
        </w:rPr>
        <w:t xml:space="preserve">预算数</w:t>
      </w:r>
      <w:r>
        <w:rPr>
          <w:rFonts w:ascii="仿宋" w:eastAsia="仿宋" w:hAnsi="仿宋" w:cs="宋体" w:hint="eastAsia"/>
          <w:sz w:val="32"/>
          <w:szCs w:val="32"/>
        </w:rPr>
        <w:t xml:space="preserve">持平</w:t>
      </w:r>
      <w:r>
        <w:rPr>
          <w:rFonts w:ascii="仿宋" w:eastAsia="仿宋" w:hAnsi="仿宋" w:cs="宋体" w:hint="eastAsia"/>
          <w:color w:val="000000"/>
          <w:sz w:val="32"/>
          <w:szCs w:val="32"/>
          <w:lang w:val="zh-CN"/>
        </w:rPr>
        <w:t xml:space="preserve">；</w:t>
      </w:r>
      <w:r>
        <w:rPr>
          <w:rFonts w:ascii="仿宋" w:eastAsia="仿宋" w:hAnsi="仿宋" w:cs="宋体" w:hint="eastAsia"/>
          <w:color w:val="000000"/>
          <w:sz w:val="32"/>
          <w:szCs w:val="32"/>
          <w:lang w:val="zh-CN"/>
        </w:rPr>
        <w:t xml:space="preserve">公务用车运行经费</w:t>
      </w:r>
      <w:r>
        <w:rPr>
          <w:rFonts w:ascii="仿宋" w:eastAsia="仿宋" w:hAnsi="仿宋" w:cs="宋体" w:hint="eastAsia"/>
          <w:color w:val="000000"/>
          <w:sz w:val="32"/>
          <w:szCs w:val="32"/>
          <w:lang w:val="zh-CN"/>
        </w:rPr>
        <w:t xml:space="preserve">2.01</w:t>
      </w:r>
      <w:r>
        <w:rPr>
          <w:rFonts w:ascii="仿宋" w:eastAsia="仿宋" w:hAnsi="仿宋" w:cs="宋体" w:hint="eastAsia"/>
          <w:color w:val="000000"/>
          <w:sz w:val="32"/>
          <w:szCs w:val="32"/>
          <w:lang w:val="zh-CN"/>
        </w:rPr>
        <w:t xml:space="preserve">亿元，</w:t>
      </w:r>
      <w:r>
        <w:rPr>
          <w:rFonts w:ascii="仿宋" w:eastAsia="仿宋" w:hAnsi="仿宋" w:cs="宋体" w:hint="eastAsia"/>
          <w:sz w:val="32"/>
          <w:szCs w:val="32"/>
        </w:rPr>
        <w:t xml:space="preserve">同</w:t>
      </w:r>
      <w:r>
        <w:rPr>
          <w:rFonts w:ascii="仿宋" w:eastAsia="仿宋" w:hAnsi="仿宋" w:cs="宋体" w:hint="eastAsia"/>
          <w:color w:val="000000"/>
          <w:sz w:val="32"/>
          <w:szCs w:val="32"/>
          <w:lang w:val="zh-CN"/>
        </w:rPr>
        <w:t xml:space="preserve">比</w:t>
      </w:r>
      <w:r>
        <w:rPr>
          <w:rFonts w:ascii="仿宋" w:eastAsia="仿宋" w:hAnsi="仿宋" w:cs="宋体" w:hint="eastAsia"/>
          <w:color w:val="000000"/>
          <w:sz w:val="32"/>
          <w:szCs w:val="32"/>
          <w:lang w:val="zh-CN"/>
        </w:rPr>
        <w:t xml:space="preserve">减少</w:t>
      </w:r>
      <w:r>
        <w:rPr>
          <w:rFonts w:ascii="仿宋" w:eastAsia="仿宋" w:hAnsi="仿宋" w:cs="宋体" w:hint="eastAsia"/>
          <w:color w:val="000000"/>
          <w:sz w:val="32"/>
          <w:szCs w:val="32"/>
          <w:lang w:val="zh-CN"/>
        </w:rPr>
        <w:t xml:space="preserve">0.02</w:t>
      </w:r>
      <w:r>
        <w:rPr>
          <w:rFonts w:ascii="仿宋" w:eastAsia="仿宋" w:hAnsi="仿宋" w:cs="宋体" w:hint="eastAsia"/>
          <w:color w:val="000000"/>
          <w:sz w:val="32"/>
          <w:szCs w:val="32"/>
          <w:lang w:val="zh-CN"/>
        </w:rPr>
        <w:t xml:space="preserve">亿元</w:t>
      </w:r>
      <w:r>
        <w:rPr>
          <w:rFonts w:ascii="仿宋" w:eastAsia="仿宋" w:hAnsi="仿宋" w:cs="宋体" w:hint="eastAsia"/>
          <w:color w:val="000000"/>
          <w:sz w:val="32"/>
          <w:szCs w:val="32"/>
          <w:lang w:val="zh-CN"/>
        </w:rPr>
        <w:t xml:space="preserve">。</w:t>
      </w:r>
    </w:p>
    <w:p>
      <w:pPr>
        <w:widowControl w:val="1"/>
        <w:adjustRightInd w:val="0"/>
        <w:snapToGrid w:val="0"/>
        <w:spacing w:line="360" w:lineRule="auto"/>
        <w:ind w:firstLine="660"/>
        <w:rPr>
          <w:rFonts w:ascii="仿宋" w:eastAsia="仿宋" w:hAnsi="仿宋" w:cs="宋体"/>
          <w:b/>
          <w:sz w:val="32"/>
          <w:szCs w:val="32"/>
        </w:rPr>
      </w:pPr>
      <w:r>
        <w:rPr>
          <w:rFonts w:ascii="仿宋" w:eastAsia="仿宋" w:hAnsi="仿宋" w:cs="宋体" w:hint="eastAsia"/>
          <w:color w:val="000000"/>
          <w:sz w:val="32"/>
          <w:szCs w:val="32"/>
          <w:lang w:val="zh-CN"/>
        </w:rPr>
        <w:t xml:space="preserve">同时，为贯彻</w:t>
      </w:r>
      <w:r>
        <w:rPr>
          <w:rFonts w:ascii="仿宋" w:eastAsia="仿宋" w:hAnsi="仿宋" w:cs="宋体" w:hint="eastAsia"/>
          <w:color w:val="000000"/>
          <w:sz w:val="32"/>
          <w:szCs w:val="32"/>
          <w:lang w:val="zh-CN"/>
        </w:rPr>
        <w:t xml:space="preserve">中央及省委和省政府</w:t>
      </w:r>
      <w:r>
        <w:rPr>
          <w:rFonts w:ascii="仿宋" w:eastAsia="仿宋" w:hAnsi="仿宋" w:cs="宋体" w:hint="eastAsia"/>
          <w:color w:val="000000"/>
          <w:sz w:val="32"/>
          <w:szCs w:val="32"/>
          <w:lang w:val="zh-CN"/>
        </w:rPr>
        <w:t xml:space="preserve">对</w:t>
      </w:r>
      <w:r>
        <w:rPr>
          <w:rFonts w:ascii="仿宋" w:eastAsia="仿宋" w:hAnsi="仿宋" w:cs="宋体" w:hint="eastAsia"/>
          <w:color w:val="000000"/>
          <w:sz w:val="32"/>
          <w:szCs w:val="32"/>
          <w:lang w:val="zh-CN"/>
        </w:rPr>
        <w:t xml:space="preserve">因公出国（境）</w:t>
      </w:r>
      <w:r>
        <w:rPr>
          <w:rFonts w:ascii="仿宋" w:eastAsia="仿宋" w:hAnsi="仿宋" w:cs="宋体" w:hint="eastAsia"/>
          <w:color w:val="000000"/>
          <w:sz w:val="32"/>
          <w:szCs w:val="32"/>
          <w:lang w:val="zh-CN"/>
        </w:rPr>
        <w:t xml:space="preserve">有关管理要求，2021年省级部门</w:t>
      </w:r>
      <w:r>
        <w:rPr>
          <w:rFonts w:ascii="仿宋" w:eastAsia="仿宋" w:hAnsi="仿宋" w:cs="宋体" w:hint="eastAsia"/>
          <w:color w:val="000000"/>
          <w:sz w:val="32"/>
          <w:szCs w:val="32"/>
          <w:lang w:val="zh-CN"/>
        </w:rPr>
        <w:t xml:space="preserve">因公出国（境）</w:t>
      </w:r>
      <w:r>
        <w:rPr>
          <w:rFonts w:ascii="仿宋" w:eastAsia="仿宋" w:hAnsi="仿宋" w:cs="宋体" w:hint="eastAsia"/>
          <w:color w:val="000000"/>
          <w:sz w:val="32"/>
          <w:szCs w:val="32"/>
          <w:lang w:val="zh-CN"/>
        </w:rPr>
        <w:t xml:space="preserve">经费额度全部</w:t>
      </w:r>
      <w:r>
        <w:rPr>
          <w:rFonts w:ascii="仿宋" w:eastAsia="仿宋" w:hAnsi="仿宋" w:cs="宋体" w:hint="eastAsia"/>
          <w:color w:val="000000"/>
          <w:sz w:val="32"/>
          <w:szCs w:val="32"/>
          <w:lang w:val="zh-CN"/>
        </w:rPr>
        <w:t xml:space="preserve">预留省</w:t>
      </w:r>
      <w:r>
        <w:rPr>
          <w:rFonts w:ascii="仿宋" w:eastAsia="仿宋" w:hAnsi="仿宋" w:cs="宋体" w:hint="eastAsia"/>
          <w:color w:val="000000"/>
          <w:sz w:val="32"/>
          <w:szCs w:val="32"/>
          <w:lang w:val="zh-CN"/>
        </w:rPr>
        <w:t xml:space="preserve">财政。</w:t>
      </w:r>
      <w:r>
        <w:rPr>
          <w:rFonts w:ascii="仿宋" w:eastAsia="仿宋" w:hAnsi="仿宋" w:cs="仿宋" w:hint="eastAsia"/>
          <w:spacing w:val="-6"/>
          <w:sz w:val="32"/>
          <w:szCs w:val="32"/>
        </w:rPr>
        <w:t xml:space="preserve">年度执行中，根据省委、省政府工作安排，对确需因公出国（境）的部门（单位），采取“一事一议”原则，经省外事办审批后，省财政厅按程序办理追加因公出国（境）经费预算额度。</w:t>
      </w:r>
    </w:p>
    <w:p>
      <w:pPr>
        <w:widowControl w:val="1"/>
        <w:adjustRightInd w:val="0"/>
        <w:snapToGrid w:val="0"/>
        <w:spacing w:line="360" w:lineRule="auto"/>
        <w:ind w:firstLine="660"/>
        <w:jc w:val="center"/>
        <w:rPr>
          <w:rFonts w:ascii="仿宋" w:eastAsia="仿宋" w:hAnsi="仿宋" w:cs="宋体"/>
          <w:b/>
          <w:sz w:val="32"/>
          <w:szCs w:val="32"/>
        </w:rPr>
      </w:pPr>
    </w:p>
    <w:sectPr>
      <w:type w:val="nextPage"/>
      <w:pgSz w:w="11906" w:h="16838"/>
      <w:pgMar w:top="1134" w:right="1558" w:bottom="1134"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E0002AFF" w:csb1="C0007841"/>
  </w:font>
  <w:font w:name="Calibri">
    <w:panose1 w:val="020F0502020204030204"/>
    <w:charset w:val="00"/>
    <w:family w:val="Auto"/>
    <w:pitch w:val="variable"/>
    <w:sig w:usb0="E10002FF" w:usb1="4000ACFF" w:usb2="00000009" w:usb3="00000000" w:csb0="E10002FF" w:csb1="4000ACFF"/>
  </w:font>
  <w:font w:name="宋体">
    <w:altName w:val="SimSun"/>
    <w:panose1 w:val="02010600030101010101"/>
    <w:charset w:val="86"/>
    <w:family w:val="Auto"/>
    <w:pitch w:val="variable"/>
    <w:sig w:usb0="00000003" w:usb1="288F0000" w:usb2="00000016" w:usb3="00000000" w:csb0="00000003" w:csb1="288F0000"/>
  </w:font>
  <w:font w:name="仿宋">
    <w:panose1 w:val="02010609060101010101"/>
    <w:charset w:val="86"/>
    <w:family w:val="Auto"/>
    <w:pitch w:val="fixed"/>
    <w:sig w:usb0="800002BF" w:usb1="38CF7CFA" w:usb2="00000016" w:usb3="00000000" w:csb0="800002BF" w:csb1="38CF7CFA"/>
  </w:font>
  <w:font w:name="方正小标宋简体">
    <w:panose1 w:val="02010601030101010101"/>
    <w:charset w:val="86"/>
    <w:family w:val="Auto"/>
    <w:pitch w:val="variable"/>
    <w:sig w:usb0="00000001" w:usb1="080E0000" w:usb2="00000010" w:usb3="00000000" w:csb0="00000001" w:csb1="080E0000"/>
  </w:font>
  <w:font w:name="黑体">
    <w:altName w:val="SimHei"/>
    <w:panose1 w:val="02010609060101010101"/>
    <w:charset w:val="86"/>
    <w:family w:val="Auto"/>
    <w:pitch w:val="fixed"/>
    <w:sig w:usb0="800002BF" w:usb1="38CF7CFA" w:usb2="00000016" w:usb3="00000000" w:csb0="800002BF" w:csb1="38CF7CFA"/>
  </w:font>
  <w:font w:name="Cambria">
    <w:panose1 w:val="02040503050406030204"/>
    <w:charset w:val="00"/>
    <w:family w:val="Auto"/>
    <w:pitch w:val="variable"/>
    <w:sig w:usb0="E00002FF" w:usb1="400004FF" w:usb2="00000000" w:usb3="00000000" w:csb0="E00002FF" w:csb1="400004F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hybridMultilevel"/>
    <w:lvl w:ilvl="0">
      <w:start w:val="1"/>
      <w:numFmt w:val="japaneseCounting"/>
      <w:suff w:val="tab"/>
      <w:lvlText w:val="%1、"/>
      <w:pPr>
        <w:spacing/>
        <w:ind w:left="720" w:hanging="720"/>
      </w:pPr>
      <w:rPr>
        <w:rFonts w:hint="default"/>
      </w:rPr>
    </w:lvl>
    <w:lvl w:ilvl="1">
      <w:start w:val="1"/>
      <w:numFmt w:val="lowerLetter"/>
      <w:suff w:val="tab"/>
      <w:lvlText w:val="%2)"/>
      <w:pPr>
        <w:spacing/>
        <w:ind w:left="840" w:hanging="420"/>
      </w:pPr>
      <w:rPr/>
    </w:lvl>
    <w:lvl w:ilvl="2">
      <w:start w:val="1"/>
      <w:numFmt w:val="lowerRoman"/>
      <w:suff w:val="tab"/>
      <w:lvlText w:val="%3."/>
      <w:lvlJc w:val="right"/>
      <w:pPr>
        <w:spacing/>
        <w:ind w:left="1260" w:hanging="420"/>
      </w:pPr>
      <w:rPr/>
    </w:lvl>
    <w:lvl w:ilvl="3">
      <w:start w:val="1"/>
      <w:numFmt w:val="decimal"/>
      <w:suff w:val="tab"/>
      <w:lvlText w:val="%4."/>
      <w:pPr>
        <w:spacing/>
        <w:ind w:left="1680" w:hanging="420"/>
      </w:pPr>
      <w:rPr/>
    </w:lvl>
    <w:lvl w:ilvl="4">
      <w:start w:val="1"/>
      <w:numFmt w:val="lowerLetter"/>
      <w:suff w:val="tab"/>
      <w:lvlText w:val="%5)"/>
      <w:pPr>
        <w:spacing/>
        <w:ind w:left="2100" w:hanging="420"/>
      </w:pPr>
      <w:rPr/>
    </w:lvl>
    <w:lvl w:ilvl="5">
      <w:start w:val="1"/>
      <w:numFmt w:val="lowerRoman"/>
      <w:suff w:val="tab"/>
      <w:lvlText w:val="%6."/>
      <w:lvlJc w:val="right"/>
      <w:pPr>
        <w:spacing/>
        <w:ind w:left="2520" w:hanging="420"/>
      </w:pPr>
      <w:rPr/>
    </w:lvl>
    <w:lvl w:ilvl="6">
      <w:start w:val="1"/>
      <w:numFmt w:val="decimal"/>
      <w:suff w:val="tab"/>
      <w:lvlText w:val="%7."/>
      <w:pPr>
        <w:spacing/>
        <w:ind w:left="2940" w:hanging="420"/>
      </w:pPr>
      <w:rPr/>
    </w:lvl>
    <w:lvl w:ilvl="7">
      <w:start w:val="1"/>
      <w:numFmt w:val="lowerLetter"/>
      <w:suff w:val="tab"/>
      <w:lvlText w:val="%8)"/>
      <w:pPr>
        <w:spacing/>
        <w:ind w:left="3360" w:hanging="420"/>
      </w:pPr>
      <w:rPr/>
    </w:lvl>
    <w:lvl w:ilvl="8">
      <w:start w:val="1"/>
      <w:numFmt w:val="lowerRoman"/>
      <w:suff w:val="tab"/>
      <w:lvlText w:val="%9."/>
      <w:lvlJc w:val="right"/>
      <w:pPr>
        <w:spacing/>
        <w:ind w:left="3780" w:hanging="42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ecimalSymbol xmlns:w="http://schemas.openxmlformats.org/wordprocessingml/2006/main" w:val="."/>
  <w:listSeparator xmlns:w="http://schemas.openxmlformats.org/wordprocessingml/2006/main" w:val=","/>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Calibri"/>
        <w:sz w:val="21"/>
        <w:szCs w:val="22"/>
        <w:lang w:val="en-US" w:eastAsia="zh-CN" w:bidi="ar-SA"/>
      </w:rPr>
    </w:rPrDefault>
    <w:pPrDefault>
      <w:pPr>
        <w:spacing/>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default="1">
    <w:name w:val="Normal"/>
    <w:next w:val="Normal"/>
    <w:qFormat/>
    <w:pPr>
      <w:widowControl w:val="0"/>
      <w:spacing/>
      <w:jc w:val="both"/>
    </w:pPr>
    <w:rPr/>
  </w:style>
  <w:style w:type="character" w:styleId="a0" w:default="1">
    <w:name w:val="Default Paragraph Font"/>
    <w:semiHidden/>
    <w:unhideWhenUsed/>
    <w:rPr/>
  </w:style>
  <w:style w:type="table" w:styleId="a1" w:default="1">
    <w:name w:val="Normal Table"/>
    <w:semiHidden/>
    <w:unhideWhenUsed/>
    <w:tblPr>
      <w:tblInd w:w="0" w:type="dxa"/>
      <w:tblCellMar>
        <w:top w:w="0" w:type="dxa"/>
        <w:left w:w="108" w:type="dxa"/>
        <w:bottom w:w="0" w:type="dxa"/>
        <w:right w:w="108" w:type="dxa"/>
      </w:tblCellMar>
    </w:tblPr>
  </w:style>
  <w:style w:type="paragraph" w:styleId="a3">
    <w:name w:val="Header"/>
    <w:basedOn w:val="a"/>
    <w:link w:val="页眉Char"/>
    <w:unhideWhenUsed/>
    <w:pPr>
      <w:snapToGrid w:val="0"/>
      <w:pBdr>
        <w:bottom w:val="single" w:sz="6" w:space="1" w:color="000000"/>
      </w:pBdr>
      <w:tabs>
        <w:tab w:pos="4153" w:val="center"/>
        <w:tab w:pos="8306" w:val="right"/>
      </w:tabs>
      <w:spacing/>
      <w:jc w:val="center"/>
    </w:pPr>
    <w:rPr>
      <w:sz w:val="18"/>
      <w:szCs w:val="18"/>
    </w:rPr>
  </w:style>
  <w:style w:type="character" w:styleId="Char" w:customStyle="1">
    <w:name w:val="页眉 Char"/>
    <w:basedOn w:val="a0"/>
    <w:link w:val="Header"/>
    <w:rPr>
      <w:sz w:val="18"/>
      <w:szCs w:val="18"/>
    </w:rPr>
  </w:style>
  <w:style w:type="paragraph" w:styleId="a4">
    <w:name w:val="Footer"/>
    <w:basedOn w:val="a"/>
    <w:link w:val="页脚Char"/>
    <w:unhideWhenUsed/>
    <w:pPr>
      <w:snapToGrid w:val="0"/>
      <w:tabs>
        <w:tab w:pos="4153" w:val="center"/>
        <w:tab w:pos="8306" w:val="right"/>
      </w:tabs>
      <w:spacing/>
      <w:jc w:val="left"/>
    </w:pPr>
    <w:rPr>
      <w:sz w:val="18"/>
      <w:szCs w:val="18"/>
    </w:rPr>
  </w:style>
  <w:style w:type="character" w:styleId="Char0" w:customStyle="1">
    <w:name w:val="页脚 Char"/>
    <w:basedOn w:val="a0"/>
    <w:link w:val="Footer"/>
    <w:rPr>
      <w:sz w:val="18"/>
      <w:szCs w:val="18"/>
    </w:rPr>
  </w:style>
  <w:style w:type="paragraph" w:styleId="a5">
    <w:name w:val="Balloon Text"/>
    <w:basedOn w:val="a"/>
    <w:link w:val="批注框文本Char"/>
    <w:semiHidden/>
    <w:unhideWhenUsed/>
    <w:pPr>
      <w:spacing/>
    </w:pPr>
    <w:rPr>
      <w:sz w:val="18"/>
      <w:szCs w:val="18"/>
    </w:rPr>
  </w:style>
  <w:style w:type="character" w:styleId="Char1" w:customStyle="1">
    <w:name w:val="批注框文本 Char"/>
    <w:basedOn w:val="a0"/>
    <w:link w:val="BalloonText"/>
    <w:semiHidden/>
    <w:rPr>
      <w:sz w:val="18"/>
      <w:szCs w:val="18"/>
    </w:rPr>
  </w:style>
  <w:style w:type="paragraph" w:styleId="a6">
    <w:name w:val="List Paragraph"/>
    <w:basedOn w:val="a"/>
    <w:qFormat/>
    <w:pPr>
      <w:spacing/>
      <w:ind w:firstLineChars="200" w:firstLine="42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TotalTime>470</TotalTime>
  <Pages>1</Pages>
  <Words>60</Words>
  <Characters>345</Characters>
  <CharactersWithSpaces>404</CharactersWithSpaces>
  <Application>Microsoft Office Word</Application>
  <DocSecurity>0</DocSecurity>
  <Lines>2</Lines>
  <Paragraphs>1</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预算处_x002F_唐真</dc:creator>
  <cp:keywords/>
  <dc:description/>
  <cp:lastModifiedBy>林凌</cp:lastModifiedBy>
  <cp:lastPrinted>2021-02-09T09:31:00Z</cp:lastPrinted>
  <cp:revision>190</cp:revision>
  <dcterms:created xsi:type="dcterms:W3CDTF">2013-05-20T07:54:00Z</dcterms:created>
  <dcterms:modified xsi:type="dcterms:W3CDTF">2021-02-09T11:18:00Z</dcterms:modified>
</cp:coreProperties>
</file>