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C8" w:rsidRDefault="00F70D64">
      <w:pPr>
        <w:adjustRightInd w:val="0"/>
        <w:snapToGrid w:val="0"/>
        <w:spacing w:line="560" w:lineRule="exact"/>
        <w:rPr>
          <w:rFonts w:ascii="黑体" w:eastAsia="黑体" w:hAnsi="黑体"/>
          <w:kern w:val="0"/>
          <w:sz w:val="32"/>
          <w:szCs w:val="32"/>
        </w:rPr>
      </w:pPr>
      <w:r>
        <w:rPr>
          <w:rFonts w:ascii="黑体" w:eastAsia="黑体" w:hAnsi="黑体" w:hint="eastAsia"/>
          <w:kern w:val="0"/>
          <w:sz w:val="32"/>
          <w:szCs w:val="32"/>
        </w:rPr>
        <w:t>附件</w:t>
      </w:r>
    </w:p>
    <w:p w:rsidR="00F375C8" w:rsidRDefault="00F375C8">
      <w:pPr>
        <w:adjustRightInd w:val="0"/>
        <w:snapToGrid w:val="0"/>
        <w:spacing w:line="560" w:lineRule="exact"/>
        <w:rPr>
          <w:rFonts w:ascii="仿宋_GB2312" w:eastAsia="仿宋_GB2312" w:hAnsi="宋体"/>
          <w:kern w:val="0"/>
        </w:rPr>
      </w:pPr>
    </w:p>
    <w:p w:rsidR="00F375C8" w:rsidRDefault="00F70D64">
      <w:pPr>
        <w:adjustRightInd w:val="0"/>
        <w:snapToGrid w:val="0"/>
        <w:spacing w:line="560" w:lineRule="exact"/>
        <w:jc w:val="center"/>
        <w:rPr>
          <w:rFonts w:ascii="方正小标宋简体" w:eastAsia="方正小标宋简体" w:hAnsi="宋体"/>
          <w:kern w:val="0"/>
          <w:sz w:val="44"/>
          <w:szCs w:val="44"/>
        </w:rPr>
      </w:pPr>
      <w:r>
        <w:rPr>
          <w:rFonts w:ascii="方正小标宋简体" w:eastAsia="方正小标宋简体" w:hAnsi="方正小标宋简体" w:hint="eastAsia"/>
          <w:kern w:val="0"/>
          <w:sz w:val="44"/>
          <w:szCs w:val="44"/>
        </w:rPr>
        <w:t>专项资金项目经费预算编制要求</w:t>
      </w:r>
    </w:p>
    <w:p w:rsidR="00F375C8" w:rsidRPr="00F375C8" w:rsidRDefault="00F375C8" w:rsidP="00F70D64">
      <w:pPr>
        <w:adjustRightInd w:val="0"/>
        <w:snapToGrid w:val="0"/>
        <w:spacing w:line="560" w:lineRule="exact"/>
        <w:ind w:firstLineChars="200" w:firstLine="640"/>
        <w:rPr>
          <w:rFonts w:ascii="仿宋" w:eastAsia="仿宋" w:hAnsi="仿宋" w:cs="仿宋"/>
          <w:kern w:val="0"/>
          <w:sz w:val="32"/>
          <w:szCs w:val="32"/>
        </w:rPr>
      </w:pPr>
    </w:p>
    <w:p w:rsidR="00F375C8" w:rsidRPr="00F375C8" w:rsidRDefault="00F375C8">
      <w:pPr>
        <w:adjustRightInd w:val="0"/>
        <w:snapToGrid w:val="0"/>
        <w:spacing w:line="560" w:lineRule="exact"/>
        <w:ind w:firstLineChars="200" w:firstLine="640"/>
        <w:rPr>
          <w:rFonts w:ascii="仿宋" w:eastAsia="仿宋" w:hAnsi="仿宋" w:cs="仿宋"/>
          <w:kern w:val="0"/>
          <w:sz w:val="32"/>
          <w:szCs w:val="32"/>
        </w:rPr>
      </w:pPr>
      <w:r w:rsidRPr="00F375C8">
        <w:rPr>
          <w:rFonts w:ascii="仿宋" w:eastAsia="仿宋" w:hAnsi="仿宋" w:cs="仿宋" w:hint="eastAsia"/>
          <w:kern w:val="0"/>
          <w:sz w:val="32"/>
          <w:szCs w:val="32"/>
        </w:rPr>
        <w:t>项目承担单位在申报时，应当按照专项资金支出范围和下列注意事项，认真编制项目预算：</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bookmarkStart w:id="0" w:name="_GoBack"/>
      <w:r w:rsidRPr="00F375C8">
        <w:rPr>
          <w:rFonts w:ascii="仿宋" w:eastAsia="仿宋" w:hAnsi="仿宋" w:cs="仿宋"/>
          <w:b/>
          <w:bCs/>
          <w:kern w:val="0"/>
          <w:sz w:val="32"/>
          <w:szCs w:val="32"/>
        </w:rPr>
        <w:t>1.差旅费：</w:t>
      </w:r>
      <w:bookmarkEnd w:id="0"/>
      <w:r w:rsidRPr="00F375C8">
        <w:rPr>
          <w:rFonts w:ascii="仿宋" w:eastAsia="仿宋" w:hAnsi="仿宋" w:cs="仿宋" w:hint="eastAsia"/>
          <w:kern w:val="0"/>
          <w:sz w:val="32"/>
          <w:szCs w:val="32"/>
        </w:rPr>
        <w:t>指在项目实施过程中开展业务调研、科普宣传、科学考察、学术交流、科技咨询等活动所发生的差旅费用。差旅费开支标准按《福建省省直机关差旅费管理办法》等有关规定执行。</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2.交通费：</w:t>
      </w:r>
      <w:r w:rsidRPr="00F375C8">
        <w:rPr>
          <w:rFonts w:ascii="仿宋" w:eastAsia="仿宋" w:hAnsi="仿宋" w:cs="仿宋" w:hint="eastAsia"/>
          <w:kern w:val="0"/>
          <w:sz w:val="32"/>
          <w:szCs w:val="32"/>
        </w:rPr>
        <w:t>指在项目实施过程中开展相关活动所发生的租车费用等。</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3.会议费：</w:t>
      </w:r>
      <w:r w:rsidRPr="00F375C8">
        <w:rPr>
          <w:rFonts w:ascii="仿宋" w:eastAsia="仿宋" w:hAnsi="仿宋" w:cs="仿宋" w:hint="eastAsia"/>
          <w:kern w:val="0"/>
          <w:sz w:val="32"/>
          <w:szCs w:val="32"/>
        </w:rPr>
        <w:t>指在项目实施过程中为组织开展研讨、咨询以及协调项目等活动而发生的会议费用。会议费开支标准按照《福建省省直机关会议费管理办法》等有关规定执行。</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4.培训费：</w:t>
      </w:r>
      <w:r w:rsidRPr="00F375C8">
        <w:rPr>
          <w:rFonts w:ascii="仿宋" w:eastAsia="仿宋" w:hAnsi="仿宋" w:cs="仿宋" w:hint="eastAsia"/>
          <w:kern w:val="0"/>
          <w:sz w:val="32"/>
          <w:szCs w:val="32"/>
        </w:rPr>
        <w:t>指在项目实施过程中举办培训等所发生的费用。培训费开支标准按《福建省省直机关培训费管理办法》等有关规定执行。</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5.专家咨询费：</w:t>
      </w:r>
      <w:r w:rsidRPr="00F375C8">
        <w:rPr>
          <w:rFonts w:ascii="仿宋" w:eastAsia="仿宋" w:hAnsi="仿宋" w:cs="仿宋" w:hint="eastAsia"/>
          <w:kern w:val="0"/>
          <w:sz w:val="32"/>
          <w:szCs w:val="32"/>
        </w:rPr>
        <w:t>指在项目实施过程中按标准支付给临时聘请的咨询专家的费用，开支标准如下：</w:t>
      </w:r>
    </w:p>
    <w:p w:rsidR="00F375C8" w:rsidRPr="00F375C8" w:rsidRDefault="00F375C8">
      <w:pPr>
        <w:adjustRightInd w:val="0"/>
        <w:snapToGrid w:val="0"/>
        <w:spacing w:line="560" w:lineRule="exact"/>
        <w:ind w:firstLineChars="200" w:firstLine="640"/>
        <w:rPr>
          <w:rFonts w:ascii="仿宋" w:eastAsia="仿宋" w:hAnsi="仿宋" w:cs="仿宋"/>
          <w:kern w:val="0"/>
          <w:sz w:val="32"/>
          <w:szCs w:val="32"/>
          <w:shd w:val="clear" w:color="auto" w:fill="FFFFFF"/>
        </w:rPr>
      </w:pPr>
      <w:r w:rsidRPr="00F375C8">
        <w:rPr>
          <w:rFonts w:ascii="仿宋" w:eastAsia="仿宋" w:hAnsi="仿宋" w:cs="仿宋" w:hint="eastAsia"/>
          <w:kern w:val="0"/>
          <w:sz w:val="32"/>
          <w:szCs w:val="32"/>
          <w:shd w:val="clear" w:color="auto" w:fill="FFFFFF"/>
        </w:rPr>
        <w:t>（</w:t>
      </w:r>
      <w:r w:rsidRPr="00F375C8">
        <w:rPr>
          <w:rFonts w:ascii="仿宋" w:eastAsia="仿宋" w:hAnsi="仿宋" w:cs="仿宋"/>
          <w:kern w:val="0"/>
          <w:sz w:val="32"/>
          <w:szCs w:val="32"/>
          <w:shd w:val="clear" w:color="auto" w:fill="FFFFFF"/>
        </w:rPr>
        <w:t>1）高级专业技术职称人员的专家咨询费标准为1500元/人天（税后）；其他专业人员的专家咨询费标准为900元/人天（税后）。</w:t>
      </w:r>
    </w:p>
    <w:p w:rsidR="00F375C8" w:rsidRPr="00F375C8" w:rsidRDefault="00F375C8">
      <w:pPr>
        <w:adjustRightInd w:val="0"/>
        <w:snapToGrid w:val="0"/>
        <w:spacing w:line="560" w:lineRule="exact"/>
        <w:ind w:firstLineChars="200" w:firstLine="640"/>
        <w:rPr>
          <w:rFonts w:ascii="仿宋" w:eastAsia="仿宋" w:hAnsi="仿宋" w:cs="仿宋"/>
          <w:kern w:val="0"/>
          <w:sz w:val="32"/>
          <w:szCs w:val="32"/>
          <w:shd w:val="clear" w:color="auto" w:fill="FFFFFF"/>
        </w:rPr>
      </w:pPr>
      <w:r w:rsidRPr="00F375C8">
        <w:rPr>
          <w:rFonts w:ascii="仿宋" w:eastAsia="仿宋" w:hAnsi="仿宋" w:cs="仿宋" w:hint="eastAsia"/>
          <w:kern w:val="0"/>
          <w:sz w:val="32"/>
          <w:szCs w:val="32"/>
          <w:shd w:val="clear" w:color="auto" w:fill="FFFFFF"/>
        </w:rPr>
        <w:t>（</w:t>
      </w:r>
      <w:r w:rsidRPr="00F375C8">
        <w:rPr>
          <w:rFonts w:ascii="仿宋" w:eastAsia="仿宋" w:hAnsi="仿宋" w:cs="仿宋"/>
          <w:kern w:val="0"/>
          <w:sz w:val="32"/>
          <w:szCs w:val="32"/>
          <w:shd w:val="clear" w:color="auto" w:fill="FFFFFF"/>
        </w:rPr>
        <w:t>2）院士、全国知名专家咨询费标准为3600元/人天（税</w:t>
      </w:r>
      <w:r w:rsidRPr="00F375C8">
        <w:rPr>
          <w:rFonts w:ascii="仿宋" w:eastAsia="仿宋" w:hAnsi="仿宋" w:cs="仿宋"/>
          <w:kern w:val="0"/>
          <w:sz w:val="32"/>
          <w:szCs w:val="32"/>
          <w:shd w:val="clear" w:color="auto" w:fill="FFFFFF"/>
        </w:rPr>
        <w:lastRenderedPageBreak/>
        <w:t>后）。</w:t>
      </w:r>
    </w:p>
    <w:p w:rsidR="00F375C8" w:rsidRPr="00F375C8" w:rsidRDefault="00F375C8">
      <w:pPr>
        <w:adjustRightInd w:val="0"/>
        <w:snapToGrid w:val="0"/>
        <w:spacing w:line="560" w:lineRule="exact"/>
        <w:ind w:firstLineChars="200" w:firstLine="640"/>
        <w:rPr>
          <w:rFonts w:ascii="仿宋" w:eastAsia="仿宋" w:hAnsi="仿宋" w:cs="仿宋"/>
          <w:kern w:val="0"/>
          <w:sz w:val="32"/>
          <w:szCs w:val="32"/>
        </w:rPr>
      </w:pPr>
      <w:r w:rsidRPr="00F375C8">
        <w:rPr>
          <w:rFonts w:ascii="仿宋" w:eastAsia="仿宋" w:hAnsi="仿宋" w:cs="仿宋" w:hint="eastAsia"/>
          <w:kern w:val="0"/>
          <w:sz w:val="32"/>
          <w:szCs w:val="32"/>
          <w:shd w:val="clear" w:color="auto" w:fill="FFFFFF"/>
        </w:rPr>
        <w:t>（</w:t>
      </w:r>
      <w:r w:rsidRPr="00F375C8">
        <w:rPr>
          <w:rFonts w:ascii="仿宋" w:eastAsia="仿宋" w:hAnsi="仿宋" w:cs="仿宋"/>
          <w:kern w:val="0"/>
          <w:sz w:val="32"/>
          <w:szCs w:val="32"/>
          <w:shd w:val="clear" w:color="auto" w:fill="FFFFFF"/>
        </w:rPr>
        <w:t>3）以会议、现场访谈或者勘察形式组织专家咨询活动的，会期为半天的，按以上标准60%执行；会期不超过两天的，按以上标准执行；会期超过三天的，第三天及以后按以上标准50%执行；邀请省外专家参加活动的，可给予往返补贴1000元/人次。</w:t>
      </w:r>
    </w:p>
    <w:p w:rsidR="00F375C8" w:rsidRPr="00F375C8" w:rsidRDefault="00F375C8">
      <w:pPr>
        <w:adjustRightInd w:val="0"/>
        <w:snapToGrid w:val="0"/>
        <w:spacing w:line="560" w:lineRule="exact"/>
        <w:ind w:firstLineChars="200" w:firstLine="640"/>
        <w:rPr>
          <w:rFonts w:ascii="仿宋" w:eastAsia="仿宋" w:hAnsi="仿宋" w:cs="仿宋"/>
          <w:kern w:val="0"/>
          <w:sz w:val="32"/>
          <w:szCs w:val="32"/>
        </w:rPr>
      </w:pPr>
      <w:r w:rsidRPr="00F375C8">
        <w:rPr>
          <w:rFonts w:ascii="仿宋" w:eastAsia="仿宋" w:hAnsi="仿宋" w:cs="仿宋" w:hint="eastAsia"/>
          <w:kern w:val="0"/>
          <w:sz w:val="32"/>
          <w:szCs w:val="32"/>
          <w:shd w:val="clear" w:color="auto" w:fill="FFFFFF"/>
        </w:rPr>
        <w:t>（</w:t>
      </w:r>
      <w:r w:rsidRPr="00F375C8">
        <w:rPr>
          <w:rFonts w:ascii="仿宋" w:eastAsia="仿宋" w:hAnsi="仿宋" w:cs="仿宋"/>
          <w:kern w:val="0"/>
          <w:sz w:val="32"/>
          <w:szCs w:val="32"/>
          <w:shd w:val="clear" w:color="auto" w:fill="FFFFFF"/>
        </w:rPr>
        <w:t>4）以通讯方式（包括网评）形式组织专家咨询活动的，按次计算，每次按不高于以上标准的20%执行。</w:t>
      </w:r>
    </w:p>
    <w:p w:rsidR="00F375C8" w:rsidRPr="00F375C8" w:rsidRDefault="00F375C8">
      <w:pPr>
        <w:adjustRightInd w:val="0"/>
        <w:snapToGrid w:val="0"/>
        <w:spacing w:line="560" w:lineRule="exact"/>
        <w:ind w:firstLineChars="200" w:firstLine="640"/>
        <w:rPr>
          <w:rFonts w:ascii="仿宋" w:eastAsia="仿宋" w:hAnsi="仿宋" w:cs="仿宋"/>
          <w:kern w:val="0"/>
          <w:sz w:val="32"/>
          <w:szCs w:val="32"/>
        </w:rPr>
      </w:pPr>
      <w:r w:rsidRPr="00F375C8">
        <w:rPr>
          <w:rFonts w:ascii="仿宋" w:eastAsia="仿宋" w:hAnsi="仿宋" w:cs="仿宋" w:hint="eastAsia"/>
          <w:kern w:val="0"/>
          <w:sz w:val="32"/>
          <w:szCs w:val="32"/>
        </w:rPr>
        <w:t>开支专家咨询费需说明咨询专家与项目任务的相关性和必要性，以及咨询专家的级别、咨询方式、咨询内容、人次数、支付标准等测算依据。</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6.劳务费：</w:t>
      </w:r>
      <w:r w:rsidRPr="00F375C8">
        <w:rPr>
          <w:rFonts w:ascii="仿宋" w:eastAsia="仿宋" w:hAnsi="仿宋" w:cs="仿宋" w:hint="eastAsia"/>
          <w:kern w:val="0"/>
          <w:sz w:val="32"/>
          <w:szCs w:val="32"/>
        </w:rPr>
        <w:t>指在项目实施过程中主要用于支付给项目聘用人员、聘请专家的劳务费用，以及稿费、讲课费等。其中项目聘用的非工资性收入人员可在劳务费中列支劳务性支出和社会保险补助。劳务费开支标准参照当地教学授课、科学研究和技术服务业人员平均工资水平以及在项目实施中承担的工作任务确定。编制劳务费预算时需说明各类聘用人员在项目实施过程中的责任分工、投入时间、支付标准等测算依据。</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7.出版/文献/信息传播/知识产权事务费：</w:t>
      </w:r>
      <w:r w:rsidRPr="00F375C8">
        <w:rPr>
          <w:rFonts w:ascii="仿宋" w:eastAsia="仿宋" w:hAnsi="仿宋" w:cs="仿宋" w:hint="eastAsia"/>
          <w:kern w:val="0"/>
          <w:sz w:val="32"/>
          <w:szCs w:val="32"/>
        </w:rPr>
        <w:t>指在项目实施过程中需要支付的发表论文和出版著作费、书籍购买费、资料费、印刷费、文献检索费、专用软件购置费、专业通信费、专利申请与维护费，以及知识产权顾问费等各项费用。</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8.数据采集费：</w:t>
      </w:r>
      <w:r w:rsidRPr="00F375C8">
        <w:rPr>
          <w:rFonts w:ascii="仿宋" w:eastAsia="仿宋" w:hAnsi="仿宋" w:cs="仿宋" w:hint="eastAsia"/>
          <w:kern w:val="0"/>
          <w:sz w:val="32"/>
          <w:szCs w:val="32"/>
        </w:rPr>
        <w:t>指在项目实施过程中发生的调查、访谈、数据购买、数据分析及相应技术服务购买等费用。</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lastRenderedPageBreak/>
        <w:t>9.国际及对台港澳科技合作交流费：</w:t>
      </w:r>
      <w:r w:rsidRPr="00F375C8">
        <w:rPr>
          <w:rFonts w:ascii="仿宋" w:eastAsia="仿宋" w:hAnsi="仿宋" w:cs="仿宋" w:hint="eastAsia"/>
          <w:kern w:val="0"/>
          <w:sz w:val="32"/>
          <w:szCs w:val="32"/>
        </w:rPr>
        <w:t>指在项目实施过程中项目承担单位在省内举办国际会议、邀请外国及台港澳专家来闽开展科技普及交流所发生的费用。国际及对台港澳科技交流与合作费用应当严格执行国家外事经费管理有关规定。</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10.设备材料费：</w:t>
      </w:r>
      <w:r w:rsidRPr="00F375C8">
        <w:rPr>
          <w:rFonts w:ascii="仿宋" w:eastAsia="仿宋" w:hAnsi="仿宋" w:cs="仿宋" w:hint="eastAsia"/>
          <w:kern w:val="0"/>
          <w:sz w:val="32"/>
          <w:szCs w:val="32"/>
        </w:rPr>
        <w:t>指在项目实施过程中购置必需的设备和材料、升级维护现有设备以及租用外单位设备而发生的费用。应当严格控制设备购置，鼓励共享、租赁以及对现有设备进行升级。编制设备材料费预算需说明所购设备、材料的名称、数量和单价，租赁设备需说明租赁设备的次数、期限、支付标准等。</w:t>
      </w:r>
    </w:p>
    <w:p w:rsidR="00F375C8" w:rsidRPr="00F375C8" w:rsidRDefault="00F375C8" w:rsidP="00F70D64">
      <w:pPr>
        <w:adjustRightInd w:val="0"/>
        <w:snapToGrid w:val="0"/>
        <w:spacing w:line="560" w:lineRule="exact"/>
        <w:ind w:firstLineChars="200" w:firstLine="643"/>
        <w:rPr>
          <w:rFonts w:ascii="仿宋" w:eastAsia="仿宋" w:hAnsi="仿宋" w:cs="仿宋"/>
          <w:kern w:val="0"/>
          <w:sz w:val="32"/>
          <w:szCs w:val="32"/>
        </w:rPr>
      </w:pPr>
      <w:r w:rsidRPr="00F375C8">
        <w:rPr>
          <w:rFonts w:ascii="仿宋" w:eastAsia="仿宋" w:hAnsi="仿宋" w:cs="仿宋"/>
          <w:b/>
          <w:bCs/>
          <w:kern w:val="0"/>
          <w:sz w:val="32"/>
          <w:szCs w:val="32"/>
        </w:rPr>
        <w:t>11.燃料耗材费：</w:t>
      </w:r>
      <w:r w:rsidRPr="00F375C8">
        <w:rPr>
          <w:rFonts w:ascii="仿宋" w:eastAsia="仿宋" w:hAnsi="仿宋" w:cs="仿宋" w:hint="eastAsia"/>
          <w:sz w:val="32"/>
          <w:szCs w:val="32"/>
        </w:rPr>
        <w:t>指在项目实施过程中购置必需的燃料和耗材费用。预算中应当说明各种燃料、耗材与项目任务的相关性和必要性，所需数量、单价等测算依据。</w:t>
      </w:r>
    </w:p>
    <w:p w:rsidR="00F375C8" w:rsidRPr="00F375C8" w:rsidRDefault="00F375C8" w:rsidP="00F70D64">
      <w:pPr>
        <w:adjustRightInd w:val="0"/>
        <w:snapToGrid w:val="0"/>
        <w:spacing w:line="560" w:lineRule="exact"/>
        <w:ind w:firstLineChars="200" w:firstLine="643"/>
        <w:rPr>
          <w:rFonts w:ascii="仿宋" w:eastAsia="仿宋" w:hAnsi="仿宋" w:cs="仿宋"/>
          <w:sz w:val="32"/>
          <w:szCs w:val="32"/>
        </w:rPr>
      </w:pPr>
      <w:r w:rsidRPr="00F375C8">
        <w:rPr>
          <w:rFonts w:ascii="仿宋" w:eastAsia="仿宋" w:hAnsi="仿宋" w:cs="仿宋"/>
          <w:b/>
          <w:bCs/>
          <w:kern w:val="0"/>
          <w:sz w:val="32"/>
          <w:szCs w:val="32"/>
        </w:rPr>
        <w:t>12.其他支出</w:t>
      </w:r>
      <w:r w:rsidRPr="00F375C8">
        <w:rPr>
          <w:rFonts w:ascii="仿宋" w:eastAsia="仿宋" w:hAnsi="仿宋" w:cs="仿宋" w:hint="eastAsia"/>
          <w:b/>
          <w:bCs/>
          <w:kern w:val="0"/>
          <w:sz w:val="32"/>
          <w:szCs w:val="32"/>
        </w:rPr>
        <w:t>：</w:t>
      </w:r>
      <w:r w:rsidRPr="00F375C8">
        <w:rPr>
          <w:rFonts w:ascii="仿宋" w:eastAsia="仿宋" w:hAnsi="仿宋" w:cs="仿宋" w:hint="eastAsia"/>
          <w:kern w:val="0"/>
          <w:sz w:val="32"/>
          <w:szCs w:val="32"/>
        </w:rPr>
        <w:t>指与项目实施相关且不能列入上述费用的其他必要费用。其他支出应当严格控制，编制预算时应单独列示并注明开支的具体内容，单独核定。</w:t>
      </w:r>
    </w:p>
    <w:p w:rsidR="00F375C8" w:rsidRPr="00F375C8" w:rsidRDefault="00F375C8">
      <w:pPr>
        <w:spacing w:line="600" w:lineRule="exact"/>
        <w:rPr>
          <w:rFonts w:ascii="仿宋" w:eastAsia="仿宋" w:hAnsi="仿宋" w:cs="仿宋"/>
          <w:sz w:val="32"/>
          <w:szCs w:val="32"/>
        </w:rPr>
      </w:pPr>
    </w:p>
    <w:sectPr w:rsidR="00F375C8" w:rsidRPr="00F375C8" w:rsidSect="00F375C8">
      <w:headerReference w:type="even" r:id="rId7"/>
      <w:footerReference w:type="default" r:id="rId8"/>
      <w:pgSz w:w="11906" w:h="16838"/>
      <w:pgMar w:top="1531" w:right="1531" w:bottom="1531" w:left="170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5C8" w:rsidRDefault="00F375C8" w:rsidP="00F375C8">
      <w:r>
        <w:separator/>
      </w:r>
    </w:p>
  </w:endnote>
  <w:endnote w:type="continuationSeparator" w:id="0">
    <w:p w:rsidR="00F375C8" w:rsidRDefault="00F375C8" w:rsidP="00F37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default"/>
    <w:sig w:usb0="A00002EF"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C8" w:rsidRDefault="000977D7">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F375C8" w:rsidRDefault="000977D7">
                <w:pPr>
                  <w:pStyle w:val="a3"/>
                  <w:rPr>
                    <w:rFonts w:asciiTheme="minorEastAsia" w:eastAsiaTheme="minorEastAsia" w:hAnsiTheme="minorEastAsia" w:cstheme="minorEastAsia"/>
                    <w:sz w:val="28"/>
                    <w:szCs w:val="44"/>
                  </w:rPr>
                </w:pPr>
                <w:r>
                  <w:rPr>
                    <w:rFonts w:asciiTheme="minorEastAsia" w:eastAsiaTheme="minorEastAsia" w:hAnsiTheme="minorEastAsia" w:cstheme="minorEastAsia" w:hint="eastAsia"/>
                    <w:sz w:val="28"/>
                    <w:szCs w:val="44"/>
                  </w:rPr>
                  <w:fldChar w:fldCharType="begin"/>
                </w:r>
                <w:r w:rsidR="00F70D64">
                  <w:rPr>
                    <w:rFonts w:asciiTheme="minorEastAsia" w:eastAsiaTheme="minorEastAsia" w:hAnsiTheme="minorEastAsia" w:cstheme="minorEastAsia" w:hint="eastAsia"/>
                    <w:sz w:val="28"/>
                    <w:szCs w:val="44"/>
                  </w:rPr>
                  <w:instrText xml:space="preserve"> PAGE  \* MERGEFORMAT </w:instrText>
                </w:r>
                <w:r>
                  <w:rPr>
                    <w:rFonts w:asciiTheme="minorEastAsia" w:eastAsiaTheme="minorEastAsia" w:hAnsiTheme="minorEastAsia" w:cstheme="minorEastAsia" w:hint="eastAsia"/>
                    <w:sz w:val="28"/>
                    <w:szCs w:val="44"/>
                  </w:rPr>
                  <w:fldChar w:fldCharType="separate"/>
                </w:r>
                <w:r w:rsidR="003315F1">
                  <w:rPr>
                    <w:rFonts w:asciiTheme="minorEastAsia" w:eastAsiaTheme="minorEastAsia" w:hAnsiTheme="minorEastAsia" w:cstheme="minorEastAsia"/>
                    <w:noProof/>
                    <w:sz w:val="28"/>
                    <w:szCs w:val="44"/>
                  </w:rPr>
                  <w:t>- 3 -</w:t>
                </w:r>
                <w:r>
                  <w:rPr>
                    <w:rFonts w:asciiTheme="minorEastAsia" w:eastAsiaTheme="minorEastAsia" w:hAnsiTheme="minorEastAsia" w:cstheme="minorEastAsia" w:hint="eastAsia"/>
                    <w:sz w:val="28"/>
                    <w:szCs w:val="4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5C8" w:rsidRDefault="00F375C8" w:rsidP="00F375C8">
      <w:r>
        <w:separator/>
      </w:r>
    </w:p>
  </w:footnote>
  <w:footnote w:type="continuationSeparator" w:id="0">
    <w:p w:rsidR="00F375C8" w:rsidRDefault="00F375C8" w:rsidP="00F37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C8" w:rsidRDefault="00F70D64" w:rsidP="00F375C8">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attachedTemplate r:id="rId1"/>
  <w:trackRevisions/>
  <w:defaultTabStop w:val="420"/>
  <w:evenAndOddHeaders/>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A31598E"/>
    <w:rsid w:val="000977D7"/>
    <w:rsid w:val="001B076F"/>
    <w:rsid w:val="002E7A4B"/>
    <w:rsid w:val="003315F1"/>
    <w:rsid w:val="00522280"/>
    <w:rsid w:val="00976041"/>
    <w:rsid w:val="00B855A9"/>
    <w:rsid w:val="00F375C8"/>
    <w:rsid w:val="00F70D64"/>
    <w:rsid w:val="04E479BA"/>
    <w:rsid w:val="0E2E0368"/>
    <w:rsid w:val="1BF23A33"/>
    <w:rsid w:val="1CFE5E26"/>
    <w:rsid w:val="1DF11661"/>
    <w:rsid w:val="28686004"/>
    <w:rsid w:val="29FB164B"/>
    <w:rsid w:val="35411DD5"/>
    <w:rsid w:val="38ED5346"/>
    <w:rsid w:val="3A1B79B9"/>
    <w:rsid w:val="3A1D11E5"/>
    <w:rsid w:val="40855274"/>
    <w:rsid w:val="44017BF1"/>
    <w:rsid w:val="451520C6"/>
    <w:rsid w:val="46665171"/>
    <w:rsid w:val="47633307"/>
    <w:rsid w:val="58130239"/>
    <w:rsid w:val="5857273C"/>
    <w:rsid w:val="5A31598E"/>
    <w:rsid w:val="674F3A3B"/>
    <w:rsid w:val="6885054F"/>
    <w:rsid w:val="75642299"/>
    <w:rsid w:val="76BE265E"/>
    <w:rsid w:val="7A143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75C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375C8"/>
    <w:pPr>
      <w:tabs>
        <w:tab w:val="center" w:pos="4153"/>
        <w:tab w:val="right" w:pos="8306"/>
      </w:tabs>
      <w:snapToGrid w:val="0"/>
      <w:jc w:val="left"/>
    </w:pPr>
    <w:rPr>
      <w:sz w:val="18"/>
    </w:rPr>
  </w:style>
  <w:style w:type="paragraph" w:styleId="a4">
    <w:name w:val="header"/>
    <w:basedOn w:val="a"/>
    <w:qFormat/>
    <w:rsid w:val="00F375C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99"/>
    <w:qFormat/>
    <w:rsid w:val="00F375C8"/>
    <w:pPr>
      <w:ind w:firstLineChars="200" w:firstLine="420"/>
    </w:pPr>
    <w:rPr>
      <w:szCs w:val="22"/>
    </w:rPr>
  </w:style>
  <w:style w:type="paragraph" w:styleId="a5">
    <w:name w:val="Balloon Text"/>
    <w:basedOn w:val="a"/>
    <w:link w:val="Char"/>
    <w:rsid w:val="00F70D64"/>
    <w:rPr>
      <w:sz w:val="18"/>
      <w:szCs w:val="18"/>
    </w:rPr>
  </w:style>
  <w:style w:type="character" w:customStyle="1" w:styleId="Char">
    <w:name w:val="批注框文本 Char"/>
    <w:basedOn w:val="a0"/>
    <w:link w:val="a5"/>
    <w:rsid w:val="00F70D6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AppData\Roaming\kingsoft\office6\templates\wps\zh_CN\&#20844;&#25991;&#65288;&#22522;&#3078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公文（基础）.dotx</Template>
  <TotalTime>0</TotalTime>
  <Pages>3</Pages>
  <Words>210</Words>
  <Characters>1198</Characters>
  <Application>Microsoft Office Word</Application>
  <DocSecurity>0</DocSecurity>
  <Lines>9</Lines>
  <Paragraphs>2</Paragraphs>
  <ScaleCrop>false</ScaleCrop>
  <Company>IT</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梧桐木</dc:creator>
  <cp:lastModifiedBy>管理员</cp:lastModifiedBy>
  <cp:revision>3</cp:revision>
  <cp:lastPrinted>2020-09-16T11:14:00Z</cp:lastPrinted>
  <dcterms:created xsi:type="dcterms:W3CDTF">2020-09-16T11:14:00Z</dcterms:created>
  <dcterms:modified xsi:type="dcterms:W3CDTF">2020-09-16T11:14:00Z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