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71" w:rsidRDefault="008B7471">
      <w:pPr>
        <w:spacing w:line="580" w:lineRule="exact"/>
        <w:jc w:val="center"/>
        <w:rPr>
          <w:rFonts w:ascii="方正小标宋简体" w:eastAsia="方正小标宋简体"/>
          <w:sz w:val="40"/>
          <w:szCs w:val="40"/>
        </w:rPr>
      </w:pPr>
      <w:bookmarkStart w:id="0" w:name="_GoBack"/>
      <w:bookmarkEnd w:id="0"/>
    </w:p>
    <w:p w:rsidR="008B7471" w:rsidRDefault="004A4303">
      <w:pPr>
        <w:spacing w:line="580" w:lineRule="exact"/>
        <w:jc w:val="center"/>
        <w:rPr>
          <w:rFonts w:ascii="方正小标宋简体" w:eastAsia="方正小标宋简体"/>
          <w:sz w:val="40"/>
          <w:szCs w:val="40"/>
        </w:rPr>
      </w:pPr>
      <w:r>
        <w:rPr>
          <w:rFonts w:ascii="方正小标宋简体" w:eastAsia="方正小标宋简体" w:hint="eastAsia"/>
          <w:sz w:val="40"/>
          <w:szCs w:val="40"/>
        </w:rPr>
        <w:t>福建省省级困难群众救助补助资金管理办法</w:t>
      </w:r>
    </w:p>
    <w:p w:rsidR="008B7471" w:rsidRDefault="008B7471">
      <w:pPr>
        <w:spacing w:line="580" w:lineRule="exact"/>
        <w:jc w:val="center"/>
        <w:rPr>
          <w:rFonts w:ascii="楷体_GB2312" w:eastAsia="楷体_GB2312" w:hAnsi="楷体_GB2312" w:cs="楷体_GB2312"/>
          <w:sz w:val="32"/>
          <w:szCs w:val="32"/>
        </w:rPr>
      </w:pPr>
    </w:p>
    <w:p w:rsidR="008B7471" w:rsidRDefault="004A4303">
      <w:pPr>
        <w:spacing w:line="580" w:lineRule="exact"/>
        <w:jc w:val="center"/>
        <w:rPr>
          <w:rFonts w:ascii="仿宋_GB2312"/>
          <w:b/>
          <w:bCs/>
          <w:sz w:val="32"/>
          <w:szCs w:val="32"/>
        </w:rPr>
      </w:pPr>
      <w:r>
        <w:rPr>
          <w:rFonts w:ascii="黑体" w:eastAsia="黑体" w:hAnsi="黑体" w:cs="黑体" w:hint="eastAsia"/>
          <w:b/>
          <w:bCs/>
          <w:sz w:val="32"/>
          <w:szCs w:val="32"/>
        </w:rPr>
        <w:t>第一章  总    则</w:t>
      </w:r>
    </w:p>
    <w:p w:rsidR="008B7471" w:rsidRDefault="008B7471">
      <w:pPr>
        <w:spacing w:line="580" w:lineRule="exact"/>
        <w:jc w:val="center"/>
        <w:rPr>
          <w:rFonts w:ascii="仿宋_GB2312" w:eastAsia="仿宋_GB2312"/>
          <w:sz w:val="32"/>
          <w:szCs w:val="32"/>
        </w:rPr>
      </w:pP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第一条</w:t>
      </w:r>
      <w:r>
        <w:rPr>
          <w:rFonts w:ascii="仿宋_GB2312" w:eastAsia="仿宋_GB2312" w:hint="eastAsia"/>
          <w:sz w:val="32"/>
          <w:szCs w:val="32"/>
        </w:rPr>
        <w:t xml:space="preserve"> 为进一步规范困难群众救助补助资金（以下简称补助资金）管理，统筹各项救助业务，提高资金使用效益，根据有关规定，结合我省实际制定本办法。</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第二条</w:t>
      </w:r>
      <w:r>
        <w:rPr>
          <w:rFonts w:ascii="仿宋_GB2312" w:eastAsia="仿宋_GB2312" w:hint="eastAsia"/>
          <w:b/>
          <w:bCs/>
          <w:sz w:val="32"/>
          <w:szCs w:val="32"/>
        </w:rPr>
        <w:t xml:space="preserve"> </w:t>
      </w:r>
      <w:r>
        <w:rPr>
          <w:rFonts w:ascii="仿宋_GB2312" w:eastAsia="仿宋_GB2312" w:hint="eastAsia"/>
          <w:sz w:val="32"/>
          <w:szCs w:val="32"/>
        </w:rPr>
        <w:t>本办法所称补助资金指省级以上财政安排用于最低生活保障、特困人员救助供养、临时救助、流浪乞讨人员救助、农村留守儿童和困境儿童救助、孤儿（含艾滋病病毒感染儿童和事实无人抚养儿童，下同）基本生活保障等项目的资金。</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第三条</w:t>
      </w:r>
      <w:r>
        <w:rPr>
          <w:rFonts w:ascii="仿宋_GB2312" w:eastAsia="仿宋_GB2312" w:hint="eastAsia"/>
          <w:b/>
          <w:bCs/>
          <w:sz w:val="32"/>
          <w:szCs w:val="32"/>
        </w:rPr>
        <w:t xml:space="preserve"> </w:t>
      </w:r>
      <w:r>
        <w:rPr>
          <w:rFonts w:ascii="仿宋_GB2312" w:eastAsia="仿宋_GB2312" w:hint="eastAsia"/>
          <w:sz w:val="32"/>
          <w:szCs w:val="32"/>
        </w:rPr>
        <w:t>补助资金使用和管理坚持公开、公平、公正的原则，确保资金使用安全、规范和有效。</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第四条</w:t>
      </w:r>
      <w:r>
        <w:rPr>
          <w:rFonts w:ascii="仿宋_GB2312" w:eastAsia="仿宋_GB2312" w:hint="eastAsia"/>
          <w:b/>
          <w:bCs/>
          <w:sz w:val="32"/>
          <w:szCs w:val="32"/>
        </w:rPr>
        <w:t xml:space="preserve"> </w:t>
      </w:r>
      <w:r>
        <w:rPr>
          <w:rFonts w:ascii="仿宋_GB2312" w:eastAsia="仿宋_GB2312" w:hint="eastAsia"/>
          <w:sz w:val="32"/>
          <w:szCs w:val="32"/>
        </w:rPr>
        <w:t>补助资金由省财政厅、民政厅按职责共同管理。</w:t>
      </w:r>
    </w:p>
    <w:p w:rsidR="008B7471" w:rsidRDefault="004A4303">
      <w:pPr>
        <w:spacing w:line="580" w:lineRule="exact"/>
        <w:ind w:firstLineChars="200" w:firstLine="640"/>
        <w:rPr>
          <w:rFonts w:ascii="仿宋_GB2312" w:eastAsia="仿宋_GB2312"/>
          <w:sz w:val="32"/>
          <w:szCs w:val="32"/>
        </w:rPr>
      </w:pPr>
      <w:r>
        <w:rPr>
          <w:rFonts w:ascii="仿宋_GB2312" w:eastAsia="仿宋_GB2312" w:hint="eastAsia"/>
          <w:sz w:val="32"/>
          <w:szCs w:val="32"/>
        </w:rPr>
        <w:t>（一）省财政厅负责省级补助资金筹集、分配审核和拨付。包括：会同省民政厅建立健全补助资金管理制度；组织补助资金支出预算的编制；组织补助资金项目撤销后的清算、收回等；指导民政部门开展补助资金绩效管理等工作。</w:t>
      </w:r>
    </w:p>
    <w:p w:rsidR="008B7471" w:rsidRDefault="004A4303">
      <w:pPr>
        <w:spacing w:line="580" w:lineRule="exact"/>
        <w:ind w:firstLineChars="200" w:firstLine="640"/>
        <w:rPr>
          <w:rFonts w:ascii="仿宋_GB2312" w:eastAsia="仿宋_GB2312"/>
          <w:sz w:val="32"/>
          <w:szCs w:val="32"/>
        </w:rPr>
      </w:pPr>
      <w:r>
        <w:rPr>
          <w:rFonts w:ascii="仿宋_GB2312" w:eastAsia="仿宋_GB2312" w:hint="eastAsia"/>
          <w:sz w:val="32"/>
          <w:szCs w:val="32"/>
        </w:rPr>
        <w:t>（二）省民政厅负责省级补助资金预算编制和执行。包括：会同省财政厅建立健全省级补助资金管理制度；根据预算管理要求做好省级补助资金支出的预算编制和资金分配；提出补助资金绩效目标并组织跟踪监控、评价。</w:t>
      </w:r>
    </w:p>
    <w:p w:rsidR="008B7471" w:rsidRDefault="004A4303">
      <w:pPr>
        <w:spacing w:line="58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lastRenderedPageBreak/>
        <w:t>第五条</w:t>
      </w:r>
      <w:r>
        <w:rPr>
          <w:rFonts w:ascii="仿宋_GB2312" w:eastAsia="仿宋_GB2312" w:hint="eastAsia"/>
          <w:b/>
          <w:bCs/>
          <w:sz w:val="32"/>
          <w:szCs w:val="32"/>
        </w:rPr>
        <w:t xml:space="preserve"> </w:t>
      </w:r>
      <w:r>
        <w:rPr>
          <w:rFonts w:ascii="仿宋_GB2312" w:eastAsia="仿宋_GB2312" w:hint="eastAsia"/>
          <w:sz w:val="32"/>
          <w:szCs w:val="32"/>
        </w:rPr>
        <w:t>市、县级财政部门负责补助资金审核拨付、指导开展绩效管理等工作。市、县级民政部门负责补助资金申报、审核、发放、公开、监督及绩效管理等工作。</w:t>
      </w:r>
    </w:p>
    <w:p w:rsidR="008B7471" w:rsidRDefault="008B7471">
      <w:pPr>
        <w:spacing w:line="580" w:lineRule="exact"/>
        <w:jc w:val="center"/>
        <w:rPr>
          <w:rFonts w:ascii="仿宋_GB2312" w:eastAsia="仿宋_GB2312"/>
          <w:sz w:val="32"/>
          <w:szCs w:val="32"/>
        </w:rPr>
      </w:pPr>
    </w:p>
    <w:p w:rsidR="008B7471" w:rsidRDefault="004A4303">
      <w:pPr>
        <w:spacing w:line="580" w:lineRule="exact"/>
        <w:jc w:val="center"/>
        <w:rPr>
          <w:rFonts w:ascii="黑体" w:eastAsia="黑体" w:hAnsi="黑体" w:cs="黑体"/>
          <w:b/>
          <w:bCs/>
          <w:sz w:val="32"/>
          <w:szCs w:val="32"/>
        </w:rPr>
      </w:pPr>
      <w:r>
        <w:rPr>
          <w:rFonts w:ascii="黑体" w:eastAsia="黑体" w:hAnsi="黑体" w:cs="黑体" w:hint="eastAsia"/>
          <w:b/>
          <w:bCs/>
          <w:sz w:val="32"/>
          <w:szCs w:val="32"/>
        </w:rPr>
        <w:t>第二章  使用范围</w:t>
      </w:r>
    </w:p>
    <w:p w:rsidR="008B7471" w:rsidRDefault="008B7471">
      <w:pPr>
        <w:spacing w:line="580" w:lineRule="exact"/>
        <w:jc w:val="center"/>
        <w:rPr>
          <w:rFonts w:ascii="仿宋_GB2312" w:eastAsia="仿宋_GB2312"/>
          <w:sz w:val="32"/>
          <w:szCs w:val="32"/>
        </w:rPr>
      </w:pPr>
    </w:p>
    <w:p w:rsidR="008B7471" w:rsidRDefault="004A4303">
      <w:pPr>
        <w:spacing w:line="58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第六条</w:t>
      </w:r>
      <w:r>
        <w:rPr>
          <w:rFonts w:ascii="仿宋_GB2312" w:eastAsia="仿宋_GB2312" w:hint="eastAsia"/>
          <w:b/>
          <w:bCs/>
          <w:sz w:val="32"/>
          <w:szCs w:val="32"/>
        </w:rPr>
        <w:t xml:space="preserve"> </w:t>
      </w:r>
      <w:r>
        <w:rPr>
          <w:rFonts w:ascii="仿宋_GB2312" w:eastAsia="仿宋_GB2312" w:hint="eastAsia"/>
          <w:sz w:val="32"/>
          <w:szCs w:val="32"/>
        </w:rPr>
        <w:t>补助资金主要用于以下方向：</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（一）用于为低保对象发放低保金，为特困人员提供基本生活、照料护理、疾病治疗、办理殡葬等服务，为临时救助对象发放救助金或实物。</w:t>
      </w:r>
    </w:p>
    <w:p w:rsidR="008B7471" w:rsidRDefault="004A4303">
      <w:pPr>
        <w:spacing w:line="580" w:lineRule="exact"/>
        <w:ind w:firstLineChars="200" w:firstLine="640"/>
        <w:rPr>
          <w:rFonts w:ascii="仿宋_GB2312" w:eastAsia="仿宋_GB2312"/>
          <w:sz w:val="32"/>
          <w:szCs w:val="32"/>
        </w:rPr>
      </w:pPr>
      <w:r>
        <w:rPr>
          <w:rFonts w:ascii="仿宋_GB2312" w:eastAsia="仿宋_GB2312" w:hint="eastAsia"/>
          <w:sz w:val="32"/>
          <w:szCs w:val="32"/>
        </w:rPr>
        <w:t>（二）用于为生活无着的流浪乞讨人员实施主动救助、生活救助、医疗救治、教育矫治、返乡救助、临时安置等。</w:t>
      </w:r>
    </w:p>
    <w:p w:rsidR="008B7471" w:rsidRDefault="004A4303">
      <w:pPr>
        <w:spacing w:line="580" w:lineRule="exact"/>
        <w:ind w:firstLineChars="200" w:firstLine="640"/>
        <w:rPr>
          <w:rFonts w:ascii="仿宋_GB2312" w:eastAsia="仿宋_GB2312"/>
          <w:sz w:val="32"/>
          <w:szCs w:val="32"/>
        </w:rPr>
      </w:pPr>
      <w:r>
        <w:rPr>
          <w:rFonts w:ascii="仿宋_GB2312" w:eastAsia="仿宋_GB2312" w:hint="eastAsia"/>
          <w:sz w:val="32"/>
          <w:szCs w:val="32"/>
        </w:rPr>
        <w:t>（三）用于农村留守儿童和困境儿童等未成年人的应急处置、救助帮扶、监护支持、精神关爱等社会关爱保护。</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（四）用于保障未满18周岁的未成年孤儿，或年满18周岁仍在高中（含中等职业教育）就读的成年孤儿的基本生活支出费。</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五）用于政府购买困难群众社会救助服务，各地政府购买所需经费从困难群众救助补助资金等专项经费中列支，列支比例由各地结合实际确定。支持社会工作服务机构等社会组织参与政府购买困难群众社会救助服务，政府购买服务项目清单、流程、评估办法另文下达规范。</w:t>
      </w:r>
    </w:p>
    <w:p w:rsidR="008B7471" w:rsidRDefault="004A4303">
      <w:pPr>
        <w:spacing w:line="580" w:lineRule="exact"/>
        <w:ind w:firstLine="645"/>
        <w:rPr>
          <w:rFonts w:ascii="仿宋_GB2312" w:eastAsia="仿宋_GB2312"/>
          <w:sz w:val="32"/>
          <w:szCs w:val="32"/>
        </w:rPr>
      </w:pPr>
      <w:r>
        <w:rPr>
          <w:rFonts w:ascii="楷体_GB2312" w:eastAsia="楷体_GB2312" w:hAnsi="楷体_GB2312" w:cs="楷体_GB2312" w:hint="eastAsia"/>
          <w:b/>
          <w:bCs/>
          <w:sz w:val="32"/>
          <w:szCs w:val="32"/>
        </w:rPr>
        <w:t>第七条</w:t>
      </w:r>
      <w:r>
        <w:rPr>
          <w:rFonts w:ascii="仿宋_GB2312" w:eastAsia="仿宋_GB2312" w:hint="eastAsia"/>
          <w:sz w:val="32"/>
          <w:szCs w:val="32"/>
        </w:rPr>
        <w:t xml:space="preserve"> 各地不得擅自扩大补助资金使用范围，不得以任何形式挤占、挪用、截留和滞留补助资金。不得将补助资</w:t>
      </w:r>
      <w:r>
        <w:rPr>
          <w:rFonts w:ascii="仿宋_GB2312" w:eastAsia="仿宋_GB2312" w:hint="eastAsia"/>
          <w:sz w:val="32"/>
          <w:szCs w:val="32"/>
        </w:rPr>
        <w:lastRenderedPageBreak/>
        <w:t>金用于“三公”经费支出，不得将补助资金用于机构运转或基础设施购置、维修、改造等。不得向服务对象收取任何管理费用。政府购买服务承接主体取得的购买服务收入按相关行业财务会计制度管理使用。</w:t>
      </w:r>
    </w:p>
    <w:p w:rsidR="008B7471" w:rsidRDefault="008B7471">
      <w:pPr>
        <w:spacing w:line="580" w:lineRule="exact"/>
        <w:jc w:val="center"/>
        <w:rPr>
          <w:rFonts w:ascii="黑体" w:eastAsia="黑体" w:hAnsi="黑体" w:cs="黑体"/>
          <w:kern w:val="0"/>
          <w:sz w:val="32"/>
          <w:szCs w:val="32"/>
        </w:rPr>
      </w:pPr>
    </w:p>
    <w:p w:rsidR="008B7471" w:rsidRDefault="004A4303">
      <w:pPr>
        <w:spacing w:line="580" w:lineRule="exact"/>
        <w:jc w:val="center"/>
        <w:rPr>
          <w:rStyle w:val="a8"/>
        </w:rPr>
      </w:pPr>
      <w:r>
        <w:rPr>
          <w:rFonts w:ascii="黑体" w:eastAsia="黑体" w:hAnsi="黑体" w:cs="黑体" w:hint="eastAsia"/>
          <w:b/>
          <w:bCs/>
          <w:sz w:val="32"/>
          <w:szCs w:val="32"/>
        </w:rPr>
        <w:t>第三章  分配和使用管理</w:t>
      </w:r>
    </w:p>
    <w:p w:rsidR="008B7471" w:rsidRDefault="008B7471">
      <w:pPr>
        <w:pStyle w:val="1"/>
        <w:spacing w:line="580" w:lineRule="exact"/>
        <w:ind w:firstLine="640"/>
        <w:rPr>
          <w:rFonts w:ascii="仿宋_GB2312" w:eastAsia="仿宋_GB2312"/>
          <w:sz w:val="32"/>
          <w:szCs w:val="32"/>
        </w:rPr>
      </w:pPr>
    </w:p>
    <w:p w:rsidR="008B7471" w:rsidRDefault="004A4303">
      <w:pPr>
        <w:spacing w:line="580" w:lineRule="exact"/>
        <w:ind w:firstLineChars="200"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补助资金采取因素法分配，主要参考各地救助需求因素、财力因素和绩效因素等。重点向老区苏区、保障任务重、工作绩效好等地区倾斜。省级补助资金可统筹用于各项困难群众救助工作。各市（县、区）应补助资金分配测算公式具体如下：</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某地分配资金＝资金总额×该地补助需求/Σ各地补助需求</w:t>
      </w:r>
    </w:p>
    <w:p w:rsidR="008B7471" w:rsidRDefault="004A4303">
      <w:pPr>
        <w:spacing w:line="580" w:lineRule="exact"/>
        <w:ind w:firstLineChars="200" w:firstLine="640"/>
        <w:rPr>
          <w:rFonts w:ascii="仿宋_GB2312" w:eastAsia="仿宋_GB2312"/>
          <w:sz w:val="32"/>
          <w:szCs w:val="32"/>
        </w:rPr>
      </w:pPr>
      <w:r>
        <w:rPr>
          <w:rFonts w:ascii="仿宋_GB2312" w:eastAsia="仿宋_GB2312" w:hint="eastAsia"/>
          <w:sz w:val="32"/>
          <w:szCs w:val="32"/>
        </w:rPr>
        <w:t>某地补助需求＝（该地城乡低保补助需求+该地特困供养补助需求+该地孤儿保障补助需求+该地临时救助补助需求+该地流浪乞讨人员救助补助需求+该地农村留守儿童困难儿童保障需求+该地定额补助基数）×该地工作绩效得分</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某地城乡低保补助需求＝该地保障对象数量×省定低保最低标准×省级财政补助比例（老区苏区县在原比例基础上提高10%）</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某地特困救助供养补助需求＝该地供养对象数量×省定低保最低标准的2倍×省级财政补助比例（老区苏区县在原比例基础上提高10%）</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lastRenderedPageBreak/>
        <w:t>某地孤儿保障补助需求=该地保障对象数量×补助标准×省级财政补助比例</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某地临时救助补助需求＝该地户籍人口数量×筹资标准×省级财政补助比例</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某地流浪乞讨人员救助补助需求＝流浪乞讨人员救助补助资金×（当地救助人天次数/全省救助总人天次数×50%+当地救助残障患者人次数/全省救助残障患者人次数×30%+当地返乡护送人次数/全省返乡护送人次数×20%）</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某地农村留守儿童和困境儿童关爱服务补助需求＝农村留守儿童和困境儿童关爱服务资金×（该地农村留守儿童困境儿童人数/全省农村留守儿童困境儿童人数×80%+该地老区数量/全省老区数量×20%）</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某地最低生活保障、特困救助供养、孤儿、农村留守儿童和困境儿童等对象数量和流浪乞讨人员救助信息取自民政部门的业务报表数据，各地户籍人口数量取自省级统计部门公布的最新数据。</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定额补助基数是指对某地区因基本生活救助补助政策调整导致的补助额度下降（若有）的补差数，补差基数测算以2020年度救助人数为基数；随着区划职能调整，将对定额补助基数额度进行拆分或合并。具体各地定额补助基数见附件。</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各地工作绩效得分由省民政厅、省财政厅根据需要制定困难群众救助工作绩效考评办法并通过考核确定。在尚未执行前，各地工作绩效得分按照单位1计入测算。某地应得金</w:t>
      </w:r>
      <w:r>
        <w:rPr>
          <w:rFonts w:ascii="仿宋_GB2312" w:eastAsia="仿宋_GB2312" w:hint="eastAsia"/>
          <w:sz w:val="32"/>
          <w:szCs w:val="32"/>
        </w:rPr>
        <w:lastRenderedPageBreak/>
        <w:t>额均取整至万元单位。</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第九条</w:t>
      </w:r>
      <w:r>
        <w:rPr>
          <w:rFonts w:ascii="仿宋_GB2312" w:eastAsia="仿宋_GB2312" w:hint="eastAsia"/>
          <w:b/>
          <w:bCs/>
          <w:sz w:val="32"/>
          <w:szCs w:val="32"/>
        </w:rPr>
        <w:t xml:space="preserve"> </w:t>
      </w:r>
      <w:r>
        <w:rPr>
          <w:rFonts w:ascii="仿宋_GB2312" w:eastAsia="仿宋_GB2312" w:hint="eastAsia"/>
          <w:sz w:val="32"/>
          <w:szCs w:val="32"/>
        </w:rPr>
        <w:t>每年省财政厅、省民政厅按不低于当年度预计执行数的90%提前下达各市（县、区）下一年度补助（预算）指标。预算年度开始后正式的资金和绩效目标下达根据预算法及预算法实施条例相关管理要求实施。</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第十条</w:t>
      </w:r>
      <w:r>
        <w:rPr>
          <w:rFonts w:ascii="仿宋_GB2312" w:eastAsia="仿宋_GB2312" w:hint="eastAsia"/>
          <w:b/>
          <w:bCs/>
          <w:sz w:val="32"/>
          <w:szCs w:val="32"/>
        </w:rPr>
        <w:t xml:space="preserve"> </w:t>
      </w:r>
      <w:r>
        <w:rPr>
          <w:rFonts w:ascii="仿宋_GB2312" w:eastAsia="仿宋_GB2312" w:hint="eastAsia"/>
          <w:sz w:val="32"/>
          <w:szCs w:val="32"/>
        </w:rPr>
        <w:t>各市（县、区）财政、民政部门应在收到省级财政下达资金和绩效目标后，合理编制困难群众救助补助资金预算，将省级财政补助资金与地方财政配套的资金统筹使用，同时要注意盘活存量资金，加大结余资金消化力度，提高资金使用效益。</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第十一条</w:t>
      </w:r>
      <w:r>
        <w:rPr>
          <w:rFonts w:ascii="仿宋_GB2312" w:eastAsia="仿宋_GB2312" w:hint="eastAsia"/>
          <w:b/>
          <w:bCs/>
          <w:sz w:val="32"/>
          <w:szCs w:val="32"/>
        </w:rPr>
        <w:t xml:space="preserve"> </w:t>
      </w:r>
      <w:r>
        <w:rPr>
          <w:rFonts w:ascii="仿宋_GB2312" w:eastAsia="仿宋_GB2312" w:hint="eastAsia"/>
          <w:sz w:val="32"/>
          <w:szCs w:val="32"/>
        </w:rPr>
        <w:t>各市（县、区）财政、民政部门应根据辖区乡镇（街道）人口数量等因素，预拨一定额度的临时救助备用金，确保乡镇（街道）在审批权限额度内的临时救助金及时、有效发放。</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第十二条</w:t>
      </w:r>
      <w:r>
        <w:rPr>
          <w:rFonts w:ascii="仿宋_GB2312" w:eastAsia="仿宋_GB2312" w:hint="eastAsia"/>
          <w:b/>
          <w:bCs/>
          <w:sz w:val="32"/>
          <w:szCs w:val="32"/>
        </w:rPr>
        <w:t xml:space="preserve"> </w:t>
      </w:r>
      <w:r>
        <w:rPr>
          <w:rFonts w:ascii="仿宋_GB2312" w:eastAsia="仿宋_GB2312" w:hint="eastAsia"/>
          <w:sz w:val="32"/>
          <w:szCs w:val="32"/>
        </w:rPr>
        <w:t>各市（县、区）财政部门要会同民政部门加快预算执行进度。对实际支出少于当年度省级财政补助的，省级财政将在下年度适当减少补助。对结余较大的，省级财政可按有关规定回收、调剂，切实发挥财政资金效益。</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第十三条</w:t>
      </w:r>
      <w:r>
        <w:rPr>
          <w:rFonts w:ascii="仿宋_GB2312" w:eastAsia="仿宋_GB2312" w:hint="eastAsia"/>
          <w:b/>
          <w:bCs/>
          <w:sz w:val="32"/>
          <w:szCs w:val="32"/>
        </w:rPr>
        <w:t xml:space="preserve"> </w:t>
      </w:r>
      <w:r>
        <w:rPr>
          <w:rFonts w:ascii="仿宋_GB2312" w:eastAsia="仿宋_GB2312" w:hint="eastAsia"/>
          <w:sz w:val="32"/>
          <w:szCs w:val="32"/>
        </w:rPr>
        <w:t>补助资金支付按照国库集中支付制度有关规定执行。</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（一）低保金、特困供养金、临时救助金实行社会化发放，原则上点对点</w:t>
      </w:r>
      <w:r>
        <w:rPr>
          <w:rFonts w:ascii="仿宋_GB2312" w:eastAsia="仿宋_GB2312" w:cs="Times New Roman" w:hint="eastAsia"/>
          <w:sz w:val="32"/>
          <w:szCs w:val="32"/>
        </w:rPr>
        <w:t>支付到对象个人账户。</w:t>
      </w:r>
      <w:r>
        <w:rPr>
          <w:rFonts w:ascii="仿宋_GB2312" w:eastAsia="仿宋_GB2312" w:hint="eastAsia"/>
          <w:sz w:val="32"/>
          <w:szCs w:val="32"/>
        </w:rPr>
        <w:t>集中供养特困人员的基本生活费和照料护理费可直接支付到供养机构账户。紧急情况下，临时救助金可以现金或实物形式直接发放到个</w:t>
      </w:r>
      <w:r>
        <w:rPr>
          <w:rFonts w:ascii="仿宋_GB2312" w:eastAsia="仿宋_GB2312" w:hint="eastAsia"/>
          <w:sz w:val="32"/>
          <w:szCs w:val="32"/>
        </w:rPr>
        <w:lastRenderedPageBreak/>
        <w:t>人。低保金、特困供养金原则上按月发放。</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对确实无法自行支取低保金、特困供养金和临时救助金的，可经所在地乡镇或街道民政工作人员核实签订代领协议并由他人代为领取。代领人应为救助对象的监护人、委托照料服务责任人或其本人指定人员。民政部门应加强此类对象补助金发放的监管。</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二）有条件的地方，可探索通过政府购买服务等方式，为分散供养特困人员提供照料护理服务。按照委托照料服务协议，可将分散供养特困人员照料护理费及时支付到承担照料服务职责的供养服务机构、社会组织账户。</w:t>
      </w: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（三）集中养育的孤儿基本生活费应按月支付到福利机构集体账户。社会散居的孤儿基本生活费应按月支付到本人或其监护人个人账户。</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 xml:space="preserve">第十四条 </w:t>
      </w:r>
      <w:r>
        <w:rPr>
          <w:rFonts w:ascii="仿宋_GB2312" w:eastAsia="仿宋_GB2312" w:hint="eastAsia"/>
          <w:sz w:val="32"/>
          <w:szCs w:val="32"/>
        </w:rPr>
        <w:t>各级民政、财政部门应建立健全资金监管机制，补助资金应纳入乡村振兴（扶贫惠民）资金在线监管平台管理，并做好资金发放情况的公开工作。</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第十五条</w:t>
      </w:r>
      <w:r>
        <w:rPr>
          <w:rFonts w:ascii="仿宋_GB2312" w:eastAsia="仿宋_GB2312" w:hint="eastAsia"/>
          <w:b/>
          <w:bCs/>
          <w:sz w:val="32"/>
          <w:szCs w:val="32"/>
        </w:rPr>
        <w:t xml:space="preserve"> </w:t>
      </w:r>
      <w:r>
        <w:rPr>
          <w:rFonts w:ascii="仿宋_GB2312" w:eastAsia="仿宋_GB2312" w:hint="eastAsia"/>
          <w:sz w:val="32"/>
          <w:szCs w:val="32"/>
        </w:rPr>
        <w:t>各级民政部门应自觉接受财政、审计等部门以及监察机关的监督和社会监督。</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第十六条</w:t>
      </w:r>
      <w:r>
        <w:rPr>
          <w:rFonts w:ascii="仿宋_GB2312" w:eastAsia="仿宋_GB2312" w:hint="eastAsia"/>
          <w:b/>
          <w:bCs/>
          <w:sz w:val="32"/>
          <w:szCs w:val="32"/>
        </w:rPr>
        <w:t xml:space="preserve"> </w:t>
      </w:r>
      <w:r>
        <w:rPr>
          <w:rFonts w:ascii="仿宋_GB2312" w:eastAsia="仿宋_GB2312" w:hint="eastAsia"/>
          <w:sz w:val="32"/>
          <w:szCs w:val="32"/>
        </w:rPr>
        <w:t>按照预算管理规定，省民政厅要设置专项资金绩效目标。</w:t>
      </w:r>
      <w:r>
        <w:rPr>
          <w:rFonts w:ascii="仿宋_GB2312" w:eastAsia="仿宋_GB2312" w:cs="宋体" w:hint="eastAsia"/>
          <w:sz w:val="32"/>
          <w:szCs w:val="32"/>
        </w:rPr>
        <w:t>各级民政部门应当在预算执行中开展绩效运行监控。在年度执行结束后，按要求组织开展绩效评价。</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第十七条</w:t>
      </w:r>
      <w:r>
        <w:rPr>
          <w:rFonts w:ascii="仿宋_GB2312" w:eastAsia="仿宋_GB2312" w:hint="eastAsia"/>
          <w:b/>
          <w:bCs/>
          <w:sz w:val="32"/>
          <w:szCs w:val="32"/>
        </w:rPr>
        <w:t xml:space="preserve"> </w:t>
      </w:r>
      <w:r>
        <w:rPr>
          <w:rFonts w:ascii="仿宋_GB2312" w:eastAsia="仿宋_GB2312" w:hint="eastAsia"/>
          <w:sz w:val="32"/>
          <w:szCs w:val="32"/>
        </w:rPr>
        <w:t>在年度预算执行结束后，省民政厅、省财政厅应适时组织开展困难群众救助工作绩效评价。评价结果将作为政策制定、资金分配、改进管理的重要依据。</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lastRenderedPageBreak/>
        <w:t>第十八条</w:t>
      </w:r>
      <w:r>
        <w:rPr>
          <w:rFonts w:ascii="仿宋_GB2312" w:eastAsia="仿宋_GB2312" w:hint="eastAsia"/>
          <w:b/>
          <w:bCs/>
          <w:sz w:val="32"/>
          <w:szCs w:val="32"/>
        </w:rPr>
        <w:t xml:space="preserve"> </w:t>
      </w:r>
      <w:r>
        <w:rPr>
          <w:rFonts w:ascii="仿宋_GB2312" w:eastAsia="仿宋_GB2312" w:hint="eastAsia"/>
          <w:sz w:val="32"/>
          <w:szCs w:val="32"/>
        </w:rPr>
        <w:t>补助资金使用管理中存在虚报、冒领、截留、挪用等违法行为的，将按《中华人民共和国预算法》、《财政违法行为处罚处分条例》等有关规定对相关部门和单位予以处理，并依法追究相关责任人的责任。构成犯罪的，将依法移送司法机关。</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第十九条</w:t>
      </w:r>
      <w:r>
        <w:rPr>
          <w:rFonts w:ascii="仿宋_GB2312" w:eastAsia="仿宋_GB2312" w:hint="eastAsia"/>
          <w:b/>
          <w:bCs/>
          <w:sz w:val="32"/>
          <w:szCs w:val="32"/>
        </w:rPr>
        <w:t xml:space="preserve"> </w:t>
      </w:r>
      <w:r>
        <w:rPr>
          <w:rFonts w:ascii="仿宋_GB2312" w:eastAsia="仿宋_GB2312" w:hint="eastAsia"/>
          <w:sz w:val="32"/>
          <w:szCs w:val="32"/>
        </w:rPr>
        <w:t>设区市财政部门、民政部门可根据本办法制定实施细则。</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第二十条</w:t>
      </w:r>
      <w:r>
        <w:rPr>
          <w:rFonts w:ascii="仿宋_GB2312" w:eastAsia="仿宋_GB2312" w:hint="eastAsia"/>
          <w:b/>
          <w:bCs/>
          <w:sz w:val="32"/>
          <w:szCs w:val="32"/>
        </w:rPr>
        <w:t xml:space="preserve"> </w:t>
      </w:r>
      <w:r>
        <w:rPr>
          <w:rFonts w:ascii="仿宋_GB2312" w:eastAsia="仿宋_GB2312" w:hint="eastAsia"/>
          <w:sz w:val="32"/>
          <w:szCs w:val="32"/>
        </w:rPr>
        <w:t>本办法由省财政厅会同省民政厅负责解释。</w:t>
      </w:r>
    </w:p>
    <w:p w:rsidR="008B7471" w:rsidRDefault="004A4303">
      <w:pPr>
        <w:pStyle w:val="1"/>
        <w:spacing w:line="580" w:lineRule="exact"/>
        <w:ind w:firstLine="643"/>
        <w:rPr>
          <w:rFonts w:ascii="仿宋_GB2312" w:eastAsia="仿宋_GB2312"/>
          <w:sz w:val="32"/>
          <w:szCs w:val="32"/>
        </w:rPr>
      </w:pPr>
      <w:r>
        <w:rPr>
          <w:rFonts w:ascii="楷体_GB2312" w:eastAsia="楷体_GB2312" w:hAnsi="楷体_GB2312" w:cs="楷体_GB2312" w:hint="eastAsia"/>
          <w:b/>
          <w:bCs/>
          <w:sz w:val="32"/>
          <w:szCs w:val="32"/>
        </w:rPr>
        <w:t>第二十一条</w:t>
      </w:r>
      <w:r>
        <w:rPr>
          <w:rFonts w:ascii="仿宋_GB2312" w:eastAsia="仿宋_GB2312" w:hint="eastAsia"/>
          <w:b/>
          <w:bCs/>
          <w:sz w:val="32"/>
          <w:szCs w:val="32"/>
        </w:rPr>
        <w:t xml:space="preserve"> </w:t>
      </w:r>
      <w:r>
        <w:rPr>
          <w:rFonts w:ascii="仿宋_GB2312" w:eastAsia="仿宋_GB2312" w:hint="eastAsia"/>
          <w:sz w:val="32"/>
          <w:szCs w:val="32"/>
        </w:rPr>
        <w:t>本办法自印发之日起施行，实施期限为2021-2023年。《福建省财政厅 福建省民政厅关于印发〈福建省困难群众救助补助资金管理办法〉的通知》（闽财社〔2017〕34号）同时废止。</w:t>
      </w:r>
    </w:p>
    <w:p w:rsidR="008B7471" w:rsidRDefault="008B7471">
      <w:pPr>
        <w:pStyle w:val="1"/>
        <w:spacing w:line="580" w:lineRule="exact"/>
        <w:ind w:firstLine="640"/>
        <w:rPr>
          <w:rFonts w:ascii="仿宋_GB2312" w:eastAsia="仿宋_GB2312"/>
          <w:sz w:val="32"/>
          <w:szCs w:val="32"/>
        </w:rPr>
      </w:pPr>
    </w:p>
    <w:p w:rsidR="008B7471" w:rsidRDefault="004A4303">
      <w:pPr>
        <w:pStyle w:val="1"/>
        <w:spacing w:line="580" w:lineRule="exact"/>
        <w:ind w:firstLine="640"/>
        <w:rPr>
          <w:rFonts w:ascii="仿宋_GB2312" w:eastAsia="仿宋_GB2312"/>
          <w:sz w:val="32"/>
          <w:szCs w:val="32"/>
        </w:rPr>
      </w:pPr>
      <w:r>
        <w:rPr>
          <w:rFonts w:ascii="仿宋_GB2312" w:eastAsia="仿宋_GB2312" w:hint="eastAsia"/>
          <w:sz w:val="32"/>
          <w:szCs w:val="32"/>
        </w:rPr>
        <w:t>附件：困难群众救助补助资金定额补助基数表</w:t>
      </w: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8B7471">
      <w:pPr>
        <w:pStyle w:val="1"/>
        <w:spacing w:line="580" w:lineRule="exact"/>
        <w:ind w:firstLine="640"/>
        <w:rPr>
          <w:rFonts w:ascii="仿宋_GB2312" w:eastAsia="仿宋_GB2312"/>
          <w:sz w:val="32"/>
          <w:szCs w:val="32"/>
        </w:rPr>
      </w:pPr>
    </w:p>
    <w:p w:rsidR="008B7471" w:rsidRDefault="004A4303">
      <w:pPr>
        <w:pStyle w:val="1"/>
        <w:spacing w:line="580" w:lineRule="exact"/>
        <w:ind w:firstLineChars="0" w:firstLine="0"/>
        <w:rPr>
          <w:rFonts w:ascii="仿宋_GB2312" w:eastAsia="仿宋_GB2312"/>
          <w:sz w:val="32"/>
          <w:szCs w:val="32"/>
        </w:rPr>
      </w:pPr>
      <w:r>
        <w:rPr>
          <w:rFonts w:ascii="仿宋_GB2312" w:eastAsia="仿宋_GB2312" w:hint="eastAsia"/>
          <w:sz w:val="32"/>
          <w:szCs w:val="32"/>
        </w:rPr>
        <w:lastRenderedPageBreak/>
        <w:t>附件：</w:t>
      </w:r>
    </w:p>
    <w:tbl>
      <w:tblPr>
        <w:tblpPr w:leftFromText="180" w:rightFromText="180" w:vertAnchor="text" w:horzAnchor="page" w:tblpX="985" w:tblpY="80"/>
        <w:tblOverlap w:val="never"/>
        <w:tblW w:w="10180" w:type="dxa"/>
        <w:tblLook w:val="04A0"/>
      </w:tblPr>
      <w:tblGrid>
        <w:gridCol w:w="1689"/>
        <w:gridCol w:w="1689"/>
        <w:gridCol w:w="1689"/>
        <w:gridCol w:w="1689"/>
        <w:gridCol w:w="1689"/>
        <w:gridCol w:w="1735"/>
      </w:tblGrid>
      <w:tr w:rsidR="008B7471" w:rsidTr="008B7471">
        <w:trPr>
          <w:trHeight w:val="590"/>
        </w:trPr>
        <w:tc>
          <w:tcPr>
            <w:tcW w:w="10180" w:type="dxa"/>
            <w:gridSpan w:val="6"/>
            <w:tcBorders>
              <w:top w:val="nil"/>
              <w:left w:val="nil"/>
              <w:bottom w:val="nil"/>
              <w:right w:val="nil"/>
            </w:tcBorders>
            <w:shd w:val="clear" w:color="auto" w:fill="auto"/>
            <w:noWrap/>
            <w:vAlign w:val="center"/>
          </w:tcPr>
          <w:p w:rsidR="008B7471" w:rsidRDefault="004A4303">
            <w:pPr>
              <w:widowControl/>
              <w:jc w:val="right"/>
              <w:textAlignment w:val="center"/>
              <w:rPr>
                <w:rFonts w:ascii="仿宋" w:eastAsia="仿宋" w:hAnsi="仿宋" w:cs="仿宋"/>
                <w:b/>
                <w:bCs/>
                <w:color w:val="000000"/>
                <w:sz w:val="36"/>
                <w:szCs w:val="36"/>
              </w:rPr>
            </w:pPr>
            <w:r>
              <w:rPr>
                <w:rFonts w:ascii="仿宋" w:eastAsia="仿宋" w:hAnsi="仿宋" w:cs="仿宋" w:hint="eastAsia"/>
                <w:b/>
                <w:bCs/>
                <w:color w:val="000000"/>
                <w:kern w:val="0"/>
                <w:sz w:val="36"/>
                <w:szCs w:val="36"/>
              </w:rPr>
              <w:t xml:space="preserve">困难群众救助补助资金定额补助基数表     </w:t>
            </w:r>
            <w:r>
              <w:rPr>
                <w:rFonts w:ascii="仿宋" w:eastAsia="仿宋" w:hAnsi="仿宋" w:cs="仿宋" w:hint="eastAsia"/>
                <w:b/>
                <w:bCs/>
                <w:color w:val="000000"/>
                <w:kern w:val="0"/>
                <w:sz w:val="24"/>
                <w:szCs w:val="24"/>
              </w:rPr>
              <w:t>单位：万元</w:t>
            </w:r>
          </w:p>
        </w:tc>
      </w:tr>
      <w:tr w:rsidR="008B7471" w:rsidTr="008B7471">
        <w:trPr>
          <w:trHeight w:val="327"/>
        </w:trPr>
        <w:tc>
          <w:tcPr>
            <w:tcW w:w="1689" w:type="dxa"/>
            <w:tcBorders>
              <w:top w:val="single" w:sz="4" w:space="0" w:color="000000"/>
              <w:left w:val="single" w:sz="4" w:space="0" w:color="000000"/>
              <w:bottom w:val="nil"/>
              <w:right w:val="single" w:sz="4" w:space="0" w:color="000000"/>
            </w:tcBorders>
            <w:shd w:val="clear" w:color="auto" w:fill="auto"/>
            <w:vAlign w:val="center"/>
          </w:tcPr>
          <w:p w:rsidR="008B7471" w:rsidRDefault="004A4303">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地区名称</w:t>
            </w:r>
          </w:p>
        </w:tc>
        <w:tc>
          <w:tcPr>
            <w:tcW w:w="1689" w:type="dxa"/>
            <w:tcBorders>
              <w:top w:val="single" w:sz="4" w:space="0" w:color="000000"/>
              <w:left w:val="single" w:sz="4" w:space="0" w:color="000000"/>
              <w:bottom w:val="nil"/>
              <w:right w:val="single" w:sz="4" w:space="0" w:color="000000"/>
            </w:tcBorders>
            <w:shd w:val="clear" w:color="auto" w:fill="auto"/>
            <w:vAlign w:val="center"/>
          </w:tcPr>
          <w:p w:rsidR="008B7471" w:rsidRDefault="004A4303">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定额补助基数</w:t>
            </w:r>
          </w:p>
        </w:tc>
        <w:tc>
          <w:tcPr>
            <w:tcW w:w="1689" w:type="dxa"/>
            <w:tcBorders>
              <w:top w:val="single" w:sz="4" w:space="0" w:color="000000"/>
              <w:left w:val="single" w:sz="4" w:space="0" w:color="000000"/>
              <w:bottom w:val="nil"/>
              <w:right w:val="single" w:sz="4" w:space="0" w:color="000000"/>
            </w:tcBorders>
            <w:shd w:val="clear" w:color="auto" w:fill="auto"/>
            <w:vAlign w:val="center"/>
          </w:tcPr>
          <w:p w:rsidR="008B7471" w:rsidRDefault="004A4303">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地区名称</w:t>
            </w:r>
          </w:p>
        </w:tc>
        <w:tc>
          <w:tcPr>
            <w:tcW w:w="1689" w:type="dxa"/>
            <w:tcBorders>
              <w:top w:val="single" w:sz="4" w:space="0" w:color="000000"/>
              <w:left w:val="single" w:sz="4" w:space="0" w:color="000000"/>
              <w:bottom w:val="nil"/>
              <w:right w:val="single" w:sz="4" w:space="0" w:color="000000"/>
            </w:tcBorders>
            <w:shd w:val="clear" w:color="auto" w:fill="auto"/>
            <w:vAlign w:val="center"/>
          </w:tcPr>
          <w:p w:rsidR="008B7471" w:rsidRDefault="004A4303">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定额补助基数</w:t>
            </w:r>
          </w:p>
        </w:tc>
        <w:tc>
          <w:tcPr>
            <w:tcW w:w="1689" w:type="dxa"/>
            <w:tcBorders>
              <w:top w:val="single" w:sz="4" w:space="0" w:color="000000"/>
              <w:left w:val="single" w:sz="4" w:space="0" w:color="000000"/>
              <w:bottom w:val="nil"/>
              <w:right w:val="single" w:sz="4" w:space="0" w:color="000000"/>
            </w:tcBorders>
            <w:shd w:val="clear" w:color="auto" w:fill="auto"/>
            <w:vAlign w:val="center"/>
          </w:tcPr>
          <w:p w:rsidR="008B7471" w:rsidRDefault="004A4303">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地区名称</w:t>
            </w:r>
          </w:p>
        </w:tc>
        <w:tc>
          <w:tcPr>
            <w:tcW w:w="1735" w:type="dxa"/>
            <w:tcBorders>
              <w:top w:val="single" w:sz="4" w:space="0" w:color="000000"/>
              <w:left w:val="single" w:sz="4" w:space="0" w:color="000000"/>
              <w:bottom w:val="nil"/>
              <w:right w:val="single" w:sz="4" w:space="0" w:color="000000"/>
            </w:tcBorders>
            <w:shd w:val="clear" w:color="auto" w:fill="auto"/>
            <w:vAlign w:val="center"/>
          </w:tcPr>
          <w:p w:rsidR="008B7471" w:rsidRDefault="004A4303">
            <w:pPr>
              <w:widowControl/>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rPr>
              <w:t>定额补助基数</w:t>
            </w:r>
          </w:p>
        </w:tc>
      </w:tr>
      <w:tr w:rsidR="008B7471" w:rsidTr="008B7471">
        <w:trPr>
          <w:trHeight w:val="327"/>
        </w:trPr>
        <w:tc>
          <w:tcPr>
            <w:tcW w:w="1689" w:type="dxa"/>
            <w:vMerge w:val="restart"/>
            <w:tcBorders>
              <w:top w:val="single" w:sz="4" w:space="0" w:color="000000"/>
              <w:left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宋体" w:hAnsi="宋体" w:cs="宋体"/>
                <w:b/>
                <w:color w:val="000000"/>
                <w:kern w:val="0"/>
                <w:sz w:val="24"/>
                <w:szCs w:val="24"/>
              </w:rPr>
            </w:pPr>
            <w:r w:rsidRPr="008B7471">
              <w:rPr>
                <w:rFonts w:ascii="宋体" w:hAnsi="宋体" w:cs="宋体" w:hint="eastAsia"/>
                <w:b/>
                <w:color w:val="000000"/>
                <w:kern w:val="0"/>
                <w:sz w:val="24"/>
                <w:szCs w:val="24"/>
              </w:rPr>
              <w:t>福建省</w:t>
            </w:r>
          </w:p>
        </w:tc>
        <w:tc>
          <w:tcPr>
            <w:tcW w:w="1689" w:type="dxa"/>
            <w:vMerge w:val="restart"/>
            <w:tcBorders>
              <w:top w:val="single" w:sz="4" w:space="0" w:color="000000"/>
              <w:left w:val="single" w:sz="4" w:space="0" w:color="000000"/>
              <w:right w:val="single" w:sz="4" w:space="0" w:color="000000"/>
            </w:tcBorders>
            <w:shd w:val="clear" w:color="auto" w:fill="auto"/>
            <w:vAlign w:val="center"/>
          </w:tcPr>
          <w:p w:rsidR="008B7471" w:rsidRPr="008B7471" w:rsidRDefault="004A4303">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15543</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将乐县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113 </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漳州台投区</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r>
      <w:tr w:rsidR="008B7471" w:rsidTr="008B7471">
        <w:trPr>
          <w:trHeight w:val="327"/>
        </w:trPr>
        <w:tc>
          <w:tcPr>
            <w:tcW w:w="1689" w:type="dxa"/>
            <w:vMerge/>
            <w:tcBorders>
              <w:left w:val="single" w:sz="4" w:space="0" w:color="000000"/>
              <w:bottom w:val="single" w:sz="4" w:space="0" w:color="000000"/>
              <w:right w:val="single" w:sz="4" w:space="0" w:color="000000"/>
            </w:tcBorders>
            <w:shd w:val="clear" w:color="auto" w:fill="auto"/>
            <w:vAlign w:val="center"/>
          </w:tcPr>
          <w:p w:rsidR="008B7471" w:rsidRDefault="008B7471" w:rsidP="008B7471">
            <w:pPr>
              <w:widowControl/>
              <w:textAlignment w:val="center"/>
              <w:rPr>
                <w:rFonts w:ascii="仿宋" w:eastAsia="仿宋" w:hAnsi="仿宋" w:cs="仿宋"/>
                <w:b/>
                <w:bCs/>
                <w:color w:val="000000"/>
                <w:sz w:val="24"/>
                <w:szCs w:val="24"/>
              </w:rPr>
            </w:pPr>
          </w:p>
        </w:tc>
        <w:tc>
          <w:tcPr>
            <w:tcW w:w="1689" w:type="dxa"/>
            <w:vMerge/>
            <w:tcBorders>
              <w:left w:val="single" w:sz="4" w:space="0" w:color="000000"/>
              <w:bottom w:val="single" w:sz="4" w:space="0" w:color="000000"/>
              <w:right w:val="single" w:sz="4" w:space="0" w:color="000000"/>
            </w:tcBorders>
            <w:shd w:val="clear" w:color="auto" w:fill="auto"/>
            <w:vAlign w:val="center"/>
          </w:tcPr>
          <w:p w:rsidR="008B7471" w:rsidRDefault="008B7471">
            <w:pPr>
              <w:widowControl/>
              <w:jc w:val="center"/>
              <w:textAlignment w:val="center"/>
              <w:rPr>
                <w:rFonts w:ascii="仿宋" w:eastAsia="仿宋" w:hAnsi="仿宋" w:cs="仿宋"/>
                <w:b/>
                <w:bCs/>
                <w:color w:val="000000"/>
                <w:sz w:val="24"/>
                <w:szCs w:val="24"/>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泰宁县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南平市</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 xml:space="preserve">925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4A4303">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福州市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4A4303">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 xml:space="preserve">2972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建宁县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市本级</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市本级</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78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永安市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138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延平区</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59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鼓楼区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29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泉州市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 xml:space="preserve">400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顺昌县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23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台江区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89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市本级</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浦城县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206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仓山区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75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鲤城区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68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光泽县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107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马尾区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26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丰泽区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51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松溪县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晋安区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31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洛江区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4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政和县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209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闽侯县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368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泉港区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21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邵武市</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63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连江县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18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惠安县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武夷山市</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227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罗源县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440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安溪县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建瓯市</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闽清县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514 </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永春县</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建阳区</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31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永泰县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809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德化县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龙岩市</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 xml:space="preserve">1901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福清市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99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石狮市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155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市本级</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长乐区</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350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晋江市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66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新罗区</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380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福州高新区</w:t>
            </w:r>
            <w:r w:rsidRPr="008B7471">
              <w:rPr>
                <w:rFonts w:ascii="仿宋" w:eastAsia="仿宋" w:hAnsi="仿宋" w:cs="仿宋"/>
                <w:color w:val="000000"/>
                <w:kern w:val="0"/>
                <w:sz w:val="24"/>
                <w:szCs w:val="24"/>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46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南安市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35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长汀县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383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4A4303">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莆田市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4A4303">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 xml:space="preserve">1326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泉州台投区</w:t>
            </w:r>
            <w:r w:rsidRPr="008B7471">
              <w:rPr>
                <w:rFonts w:ascii="仿宋" w:eastAsia="仿宋" w:hAnsi="仿宋" w:cs="仿宋"/>
                <w:color w:val="000000"/>
                <w:kern w:val="0"/>
                <w:sz w:val="24"/>
                <w:szCs w:val="24"/>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永定区</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395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市本级</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漳州市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 xml:space="preserve">2080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上杭县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487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城厢区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32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市本级</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武平县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32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涵江区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423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芗城区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281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连城县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112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荔城区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137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龙文区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184 </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漳平市</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112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秀屿区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云霄县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宁德市</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4A4303">
            <w:pPr>
              <w:widowControl/>
              <w:jc w:val="center"/>
              <w:textAlignment w:val="center"/>
              <w:rPr>
                <w:rFonts w:ascii="仿宋" w:eastAsia="仿宋" w:hAnsi="仿宋" w:cs="仿宋"/>
                <w:color w:val="000000"/>
                <w:sz w:val="24"/>
                <w:szCs w:val="24"/>
              </w:rPr>
            </w:pPr>
            <w:r>
              <w:rPr>
                <w:rFonts w:ascii="宋体" w:hAnsi="宋体" w:cs="宋体" w:hint="eastAsia"/>
                <w:b/>
                <w:color w:val="000000"/>
                <w:kern w:val="0"/>
                <w:sz w:val="24"/>
                <w:szCs w:val="24"/>
              </w:rPr>
              <w:t xml:space="preserve">4081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湄洲岛</w:t>
            </w:r>
            <w:r w:rsidRPr="008B7471">
              <w:rPr>
                <w:rFonts w:ascii="仿宋" w:eastAsia="仿宋" w:hAnsi="仿宋" w:cs="仿宋"/>
                <w:color w:val="000000"/>
                <w:kern w:val="0"/>
                <w:sz w:val="24"/>
                <w:szCs w:val="24"/>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漳浦县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153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市本级</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北</w:t>
            </w:r>
            <w:r w:rsidRPr="008B7471">
              <w:rPr>
                <w:rFonts w:ascii="仿宋" w:eastAsia="仿宋" w:hAnsi="仿宋" w:cs="仿宋"/>
                <w:color w:val="000000"/>
                <w:kern w:val="0"/>
                <w:sz w:val="24"/>
                <w:szCs w:val="24"/>
              </w:rPr>
              <w:t xml:space="preserve">  岸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诏安县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蕉城区</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718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仙游县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734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长泰区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68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霞浦县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801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4A4303">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三明市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4A4303">
            <w:pPr>
              <w:widowControl/>
              <w:jc w:val="center"/>
              <w:textAlignment w:val="center"/>
              <w:rPr>
                <w:rFonts w:ascii="宋体" w:hAnsi="宋体" w:cs="宋体"/>
                <w:b/>
                <w:color w:val="000000"/>
                <w:kern w:val="0"/>
                <w:sz w:val="24"/>
                <w:szCs w:val="24"/>
              </w:rPr>
            </w:pPr>
            <w:r>
              <w:rPr>
                <w:rFonts w:ascii="宋体" w:hAnsi="宋体" w:cs="宋体" w:hint="eastAsia"/>
                <w:b/>
                <w:color w:val="000000"/>
                <w:kern w:val="0"/>
                <w:sz w:val="24"/>
                <w:szCs w:val="24"/>
              </w:rPr>
              <w:t xml:space="preserve">1161 </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东山县</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52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古田县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32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市本级</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南靖县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374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屏南县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28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三元区</w:t>
            </w:r>
            <w:r w:rsidRPr="008B7471">
              <w:rPr>
                <w:rFonts w:ascii="仿宋" w:eastAsia="仿宋" w:hAnsi="仿宋" w:cs="仿宋"/>
                <w:color w:val="000000"/>
                <w:kern w:val="0"/>
                <w:sz w:val="24"/>
                <w:szCs w:val="24"/>
              </w:rPr>
              <w:t xml:space="preserve">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191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平和县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612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寿宁县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24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明溪县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103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华安县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105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周宁县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133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清流县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31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龙海市</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144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柘荣县</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63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宁化县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87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漳州开发区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9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福安市</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1372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大田县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228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漳州高新区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8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福鼎市</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910 </w:t>
            </w:r>
          </w:p>
        </w:tc>
      </w:tr>
      <w:tr w:rsidR="008B7471" w:rsidTr="008B7471">
        <w:trPr>
          <w:trHeight w:val="327"/>
        </w:trPr>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尤溪县</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106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古雷开发区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90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东侨开发区</w:t>
            </w:r>
            <w:r w:rsidRPr="008B7471">
              <w:rPr>
                <w:rFonts w:ascii="仿宋" w:eastAsia="仿宋" w:hAnsi="仿宋" w:cs="仿宋"/>
                <w:color w:val="000000"/>
                <w:kern w:val="0"/>
                <w:sz w:val="24"/>
                <w:szCs w:val="24"/>
              </w:rPr>
              <w:t xml:space="preserve">                                                                                                                                                   </w:t>
            </w:r>
          </w:p>
        </w:tc>
        <w:tc>
          <w:tcPr>
            <w:tcW w:w="173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r>
      <w:tr w:rsidR="008B7471" w:rsidTr="008B7471">
        <w:trPr>
          <w:trHeight w:val="388"/>
        </w:trPr>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沙</w:t>
            </w:r>
            <w:r w:rsidRPr="008B7471">
              <w:rPr>
                <w:rFonts w:ascii="仿宋" w:eastAsia="仿宋" w:hAnsi="仿宋" w:cs="仿宋"/>
                <w:color w:val="000000"/>
                <w:kern w:val="0"/>
                <w:sz w:val="24"/>
                <w:szCs w:val="24"/>
              </w:rPr>
              <w:t xml:space="preserve">  </w:t>
            </w:r>
            <w:r w:rsidRPr="008B7471">
              <w:rPr>
                <w:rFonts w:ascii="仿宋" w:eastAsia="仿宋" w:hAnsi="仿宋" w:cs="仿宋" w:hint="eastAsia"/>
                <w:color w:val="000000"/>
                <w:kern w:val="0"/>
                <w:sz w:val="24"/>
                <w:szCs w:val="24"/>
              </w:rPr>
              <w:t>县</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164 </w:t>
            </w:r>
          </w:p>
        </w:tc>
        <w:tc>
          <w:tcPr>
            <w:tcW w:w="16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hint="eastAsia"/>
                <w:color w:val="000000"/>
                <w:kern w:val="0"/>
                <w:sz w:val="24"/>
                <w:szCs w:val="24"/>
              </w:rPr>
              <w:t>常山开发区</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8B7471" w:rsidRPr="008B7471" w:rsidRDefault="008B7471">
            <w:pPr>
              <w:widowControl/>
              <w:jc w:val="center"/>
              <w:textAlignment w:val="center"/>
              <w:rPr>
                <w:rFonts w:ascii="仿宋" w:eastAsia="仿宋" w:hAnsi="仿宋" w:cs="仿宋"/>
                <w:color w:val="000000"/>
                <w:kern w:val="0"/>
                <w:sz w:val="24"/>
                <w:szCs w:val="24"/>
              </w:rPr>
            </w:pPr>
            <w:r w:rsidRPr="008B7471">
              <w:rPr>
                <w:rFonts w:ascii="仿宋" w:eastAsia="仿宋" w:hAnsi="仿宋" w:cs="仿宋"/>
                <w:color w:val="000000"/>
                <w:kern w:val="0"/>
                <w:sz w:val="24"/>
                <w:szCs w:val="24"/>
              </w:rPr>
              <w:t xml:space="preserve">0 </w:t>
            </w:r>
          </w:p>
        </w:tc>
        <w:tc>
          <w:tcPr>
            <w:tcW w:w="1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Default="004A4303">
            <w:pPr>
              <w:widowControl/>
              <w:jc w:val="center"/>
              <w:textAlignment w:val="center"/>
              <w:rPr>
                <w:rFonts w:ascii="仿宋" w:eastAsia="仿宋" w:hAnsi="仿宋" w:cs="仿宋"/>
                <w:b/>
                <w:bCs/>
                <w:color w:val="000000"/>
                <w:sz w:val="20"/>
                <w:szCs w:val="20"/>
              </w:rPr>
            </w:pPr>
            <w:r>
              <w:rPr>
                <w:rFonts w:ascii="宋体" w:hAnsi="宋体" w:cs="宋体" w:hint="eastAsia"/>
                <w:b/>
                <w:color w:val="000000"/>
                <w:kern w:val="0"/>
                <w:sz w:val="20"/>
                <w:szCs w:val="20"/>
              </w:rPr>
              <w:t>平潭综合实验区</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471" w:rsidRDefault="004A4303">
            <w:pPr>
              <w:widowControl/>
              <w:jc w:val="center"/>
              <w:textAlignment w:val="center"/>
              <w:rPr>
                <w:rFonts w:ascii="仿宋" w:eastAsia="仿宋" w:hAnsi="仿宋" w:cs="仿宋"/>
                <w:b/>
                <w:bCs/>
                <w:color w:val="000000"/>
                <w:sz w:val="24"/>
                <w:szCs w:val="24"/>
              </w:rPr>
            </w:pPr>
            <w:r>
              <w:rPr>
                <w:rFonts w:ascii="宋体" w:hAnsi="宋体" w:cs="宋体" w:hint="eastAsia"/>
                <w:b/>
                <w:color w:val="000000"/>
                <w:kern w:val="0"/>
                <w:sz w:val="24"/>
                <w:szCs w:val="24"/>
              </w:rPr>
              <w:t xml:space="preserve">697 </w:t>
            </w:r>
          </w:p>
        </w:tc>
      </w:tr>
    </w:tbl>
    <w:p w:rsidR="008B7471" w:rsidRDefault="008B7471">
      <w:pPr>
        <w:pStyle w:val="1"/>
        <w:ind w:firstLineChars="0" w:firstLine="0"/>
        <w:rPr>
          <w:rFonts w:ascii="楷体" w:eastAsia="楷体" w:hAnsi="楷体" w:cs="楷体"/>
          <w:sz w:val="22"/>
        </w:rPr>
      </w:pPr>
    </w:p>
    <w:sectPr w:rsidR="008B7471" w:rsidSect="008B747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71" w:rsidRDefault="008B7471" w:rsidP="008B7471">
      <w:r>
        <w:separator/>
      </w:r>
    </w:p>
  </w:endnote>
  <w:endnote w:type="continuationSeparator" w:id="0">
    <w:p w:rsidR="008B7471" w:rsidRDefault="008B7471" w:rsidP="008B7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71" w:rsidRDefault="00C73AB2">
    <w:pPr>
      <w:pStyle w:val="a5"/>
      <w:jc w:val="center"/>
    </w:pPr>
    <w:r>
      <w:fldChar w:fldCharType="begin"/>
    </w:r>
    <w:r w:rsidR="004A4303">
      <w:instrText xml:space="preserve"> PAGE   \* MERGEFORMAT </w:instrText>
    </w:r>
    <w:r>
      <w:fldChar w:fldCharType="separate"/>
    </w:r>
    <w:r w:rsidR="00F9284E" w:rsidRPr="00F9284E">
      <w:rPr>
        <w:noProof/>
        <w:lang w:val="zh-CN"/>
      </w:rPr>
      <w:t>1</w:t>
    </w:r>
    <w:r>
      <w:fldChar w:fldCharType="end"/>
    </w:r>
  </w:p>
  <w:p w:rsidR="008B7471" w:rsidRDefault="008B74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71" w:rsidRDefault="008B7471" w:rsidP="008B7471">
      <w:r>
        <w:separator/>
      </w:r>
    </w:p>
  </w:footnote>
  <w:footnote w:type="continuationSeparator" w:id="0">
    <w:p w:rsidR="008B7471" w:rsidRDefault="008B7471" w:rsidP="008B747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社会救助处/吴艺林">
    <w15:presenceInfo w15:providerId="None" w15:userId="社会救助处/吴艺林"/>
  </w15:person>
  <w15:person w15:author="汤俊浩">
    <w15:presenceInfo w15:providerId="None" w15:userId="汤俊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rsids>
    <w:rsidRoot w:val="00086DDA"/>
    <w:rsid w:val="000815B7"/>
    <w:rsid w:val="00086DDA"/>
    <w:rsid w:val="000A6B74"/>
    <w:rsid w:val="000B117E"/>
    <w:rsid w:val="000E2229"/>
    <w:rsid w:val="00120F6C"/>
    <w:rsid w:val="001310AF"/>
    <w:rsid w:val="00144F94"/>
    <w:rsid w:val="00171DE7"/>
    <w:rsid w:val="00174D6F"/>
    <w:rsid w:val="00186ACB"/>
    <w:rsid w:val="001A1597"/>
    <w:rsid w:val="001B7791"/>
    <w:rsid w:val="001D4C4F"/>
    <w:rsid w:val="00263F66"/>
    <w:rsid w:val="00297A70"/>
    <w:rsid w:val="002B27FD"/>
    <w:rsid w:val="00315EE5"/>
    <w:rsid w:val="003457BD"/>
    <w:rsid w:val="00346D0F"/>
    <w:rsid w:val="003523D0"/>
    <w:rsid w:val="00375893"/>
    <w:rsid w:val="003F04D0"/>
    <w:rsid w:val="00417BDF"/>
    <w:rsid w:val="00424A1A"/>
    <w:rsid w:val="0046433F"/>
    <w:rsid w:val="00481F16"/>
    <w:rsid w:val="004946A4"/>
    <w:rsid w:val="004A4303"/>
    <w:rsid w:val="004C28CE"/>
    <w:rsid w:val="004E4645"/>
    <w:rsid w:val="00514B89"/>
    <w:rsid w:val="005171E3"/>
    <w:rsid w:val="00551F86"/>
    <w:rsid w:val="00563D3D"/>
    <w:rsid w:val="00586F1F"/>
    <w:rsid w:val="00590B4B"/>
    <w:rsid w:val="005C7913"/>
    <w:rsid w:val="006409EF"/>
    <w:rsid w:val="00686758"/>
    <w:rsid w:val="00687B29"/>
    <w:rsid w:val="006C02EB"/>
    <w:rsid w:val="006F3CEE"/>
    <w:rsid w:val="006F4A01"/>
    <w:rsid w:val="007132A3"/>
    <w:rsid w:val="0077167F"/>
    <w:rsid w:val="00780955"/>
    <w:rsid w:val="007B039F"/>
    <w:rsid w:val="007B660F"/>
    <w:rsid w:val="007C281C"/>
    <w:rsid w:val="007C2A7F"/>
    <w:rsid w:val="007C764A"/>
    <w:rsid w:val="007F16DC"/>
    <w:rsid w:val="00803819"/>
    <w:rsid w:val="00812009"/>
    <w:rsid w:val="008349DC"/>
    <w:rsid w:val="00861ECB"/>
    <w:rsid w:val="00863C62"/>
    <w:rsid w:val="008B7471"/>
    <w:rsid w:val="00912F99"/>
    <w:rsid w:val="00946D3B"/>
    <w:rsid w:val="00985126"/>
    <w:rsid w:val="009C06E7"/>
    <w:rsid w:val="009E6504"/>
    <w:rsid w:val="00A227EA"/>
    <w:rsid w:val="00A66425"/>
    <w:rsid w:val="00AB1CBE"/>
    <w:rsid w:val="00B0280C"/>
    <w:rsid w:val="00B2183D"/>
    <w:rsid w:val="00B540D7"/>
    <w:rsid w:val="00BA067C"/>
    <w:rsid w:val="00BA7DAD"/>
    <w:rsid w:val="00BD4CF9"/>
    <w:rsid w:val="00BE151C"/>
    <w:rsid w:val="00BE5309"/>
    <w:rsid w:val="00C73AB2"/>
    <w:rsid w:val="00C91463"/>
    <w:rsid w:val="00D06E74"/>
    <w:rsid w:val="00D2090D"/>
    <w:rsid w:val="00D227EC"/>
    <w:rsid w:val="00D4598E"/>
    <w:rsid w:val="00D82285"/>
    <w:rsid w:val="00D8652E"/>
    <w:rsid w:val="00D97440"/>
    <w:rsid w:val="00DD6535"/>
    <w:rsid w:val="00E40728"/>
    <w:rsid w:val="00E45F12"/>
    <w:rsid w:val="00E84571"/>
    <w:rsid w:val="00EA203A"/>
    <w:rsid w:val="00F0308C"/>
    <w:rsid w:val="00F15A2C"/>
    <w:rsid w:val="00F23DBD"/>
    <w:rsid w:val="00F300FB"/>
    <w:rsid w:val="00F30194"/>
    <w:rsid w:val="00F56697"/>
    <w:rsid w:val="00F9284E"/>
    <w:rsid w:val="00FA77C1"/>
    <w:rsid w:val="031F4DAE"/>
    <w:rsid w:val="04310641"/>
    <w:rsid w:val="060E3A35"/>
    <w:rsid w:val="06CB13C2"/>
    <w:rsid w:val="074C7978"/>
    <w:rsid w:val="07876B52"/>
    <w:rsid w:val="08BB552A"/>
    <w:rsid w:val="091115C1"/>
    <w:rsid w:val="0A6F1573"/>
    <w:rsid w:val="0B5E5292"/>
    <w:rsid w:val="0BA5780C"/>
    <w:rsid w:val="0BBE6FCB"/>
    <w:rsid w:val="0BF36AA8"/>
    <w:rsid w:val="0E965E8B"/>
    <w:rsid w:val="0F0641EE"/>
    <w:rsid w:val="10866195"/>
    <w:rsid w:val="10E35105"/>
    <w:rsid w:val="10FC75FD"/>
    <w:rsid w:val="119840DE"/>
    <w:rsid w:val="11EC078D"/>
    <w:rsid w:val="12BF0174"/>
    <w:rsid w:val="12C231AF"/>
    <w:rsid w:val="1707664B"/>
    <w:rsid w:val="180319BC"/>
    <w:rsid w:val="18994C11"/>
    <w:rsid w:val="1900357D"/>
    <w:rsid w:val="19073077"/>
    <w:rsid w:val="19784F5D"/>
    <w:rsid w:val="19C620B8"/>
    <w:rsid w:val="1AD64F90"/>
    <w:rsid w:val="1B683063"/>
    <w:rsid w:val="1BFB6750"/>
    <w:rsid w:val="1D124BEC"/>
    <w:rsid w:val="1DB67CE0"/>
    <w:rsid w:val="1DFA04A7"/>
    <w:rsid w:val="1E580EE8"/>
    <w:rsid w:val="2362657D"/>
    <w:rsid w:val="242A77B0"/>
    <w:rsid w:val="248A6651"/>
    <w:rsid w:val="2647277C"/>
    <w:rsid w:val="26AB77DB"/>
    <w:rsid w:val="28485868"/>
    <w:rsid w:val="28E62393"/>
    <w:rsid w:val="29B403B2"/>
    <w:rsid w:val="2AC45A36"/>
    <w:rsid w:val="2ACF068C"/>
    <w:rsid w:val="2B3D692B"/>
    <w:rsid w:val="2B672D92"/>
    <w:rsid w:val="2BC95580"/>
    <w:rsid w:val="2D2704F7"/>
    <w:rsid w:val="2DC52DB3"/>
    <w:rsid w:val="2E9512CA"/>
    <w:rsid w:val="2EF81BC5"/>
    <w:rsid w:val="2F183924"/>
    <w:rsid w:val="3112738A"/>
    <w:rsid w:val="31C07741"/>
    <w:rsid w:val="3280178C"/>
    <w:rsid w:val="32831E89"/>
    <w:rsid w:val="33210A6A"/>
    <w:rsid w:val="34DF5E8B"/>
    <w:rsid w:val="35011DC3"/>
    <w:rsid w:val="350E4E8E"/>
    <w:rsid w:val="35ED02FD"/>
    <w:rsid w:val="37423D78"/>
    <w:rsid w:val="37E93C41"/>
    <w:rsid w:val="39143AD2"/>
    <w:rsid w:val="39277265"/>
    <w:rsid w:val="3BCF2335"/>
    <w:rsid w:val="3BF6532D"/>
    <w:rsid w:val="3C315D40"/>
    <w:rsid w:val="3D3E134F"/>
    <w:rsid w:val="3E7033FB"/>
    <w:rsid w:val="3F2D799E"/>
    <w:rsid w:val="41917082"/>
    <w:rsid w:val="43D05F2B"/>
    <w:rsid w:val="448B04CD"/>
    <w:rsid w:val="450C58FD"/>
    <w:rsid w:val="45337E29"/>
    <w:rsid w:val="455630AB"/>
    <w:rsid w:val="45EB60DD"/>
    <w:rsid w:val="4620241A"/>
    <w:rsid w:val="466954C4"/>
    <w:rsid w:val="47355F79"/>
    <w:rsid w:val="484125C2"/>
    <w:rsid w:val="48E00BEA"/>
    <w:rsid w:val="49421749"/>
    <w:rsid w:val="4A7053D0"/>
    <w:rsid w:val="4B4368CF"/>
    <w:rsid w:val="4B8A449A"/>
    <w:rsid w:val="4E5E1A87"/>
    <w:rsid w:val="50120C1D"/>
    <w:rsid w:val="50285D84"/>
    <w:rsid w:val="510621EA"/>
    <w:rsid w:val="516E0B74"/>
    <w:rsid w:val="51C70530"/>
    <w:rsid w:val="51F70A43"/>
    <w:rsid w:val="53E2476E"/>
    <w:rsid w:val="54C81985"/>
    <w:rsid w:val="54FC7E95"/>
    <w:rsid w:val="555615B7"/>
    <w:rsid w:val="55B16F08"/>
    <w:rsid w:val="57103CFE"/>
    <w:rsid w:val="57931DA5"/>
    <w:rsid w:val="57A643AB"/>
    <w:rsid w:val="57E85A60"/>
    <w:rsid w:val="584621E5"/>
    <w:rsid w:val="5B423D8A"/>
    <w:rsid w:val="5BF042E6"/>
    <w:rsid w:val="5C32464C"/>
    <w:rsid w:val="5D7D620C"/>
    <w:rsid w:val="5D856CE2"/>
    <w:rsid w:val="5F1B701E"/>
    <w:rsid w:val="601503AF"/>
    <w:rsid w:val="60B349D5"/>
    <w:rsid w:val="60E2185B"/>
    <w:rsid w:val="61074CDB"/>
    <w:rsid w:val="610F17B3"/>
    <w:rsid w:val="61235B54"/>
    <w:rsid w:val="615659C7"/>
    <w:rsid w:val="61967C52"/>
    <w:rsid w:val="63A30CA2"/>
    <w:rsid w:val="63BD3669"/>
    <w:rsid w:val="66695D07"/>
    <w:rsid w:val="66856690"/>
    <w:rsid w:val="673D7BD0"/>
    <w:rsid w:val="675E7D6F"/>
    <w:rsid w:val="686D3AAB"/>
    <w:rsid w:val="68B916E0"/>
    <w:rsid w:val="69D34F2A"/>
    <w:rsid w:val="69F22756"/>
    <w:rsid w:val="6B051430"/>
    <w:rsid w:val="6BB56564"/>
    <w:rsid w:val="6C6A3CAE"/>
    <w:rsid w:val="6D9F1242"/>
    <w:rsid w:val="6DB33265"/>
    <w:rsid w:val="6DCA23D3"/>
    <w:rsid w:val="6EDA20D9"/>
    <w:rsid w:val="6FD25FE4"/>
    <w:rsid w:val="6FF73055"/>
    <w:rsid w:val="71D165A0"/>
    <w:rsid w:val="7332677D"/>
    <w:rsid w:val="74043A67"/>
    <w:rsid w:val="741E5EA0"/>
    <w:rsid w:val="74876896"/>
    <w:rsid w:val="74A33B5D"/>
    <w:rsid w:val="758D0300"/>
    <w:rsid w:val="768B2F62"/>
    <w:rsid w:val="774536EC"/>
    <w:rsid w:val="77EF3327"/>
    <w:rsid w:val="79BF6BF2"/>
    <w:rsid w:val="79ED50DC"/>
    <w:rsid w:val="7ABA3B10"/>
    <w:rsid w:val="7BC4450A"/>
    <w:rsid w:val="7E701348"/>
    <w:rsid w:val="7F00018F"/>
    <w:rsid w:val="7F83342E"/>
    <w:rsid w:val="7F8A20D9"/>
    <w:rsid w:val="7FFC0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71"/>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B7471"/>
    <w:pPr>
      <w:jc w:val="left"/>
    </w:pPr>
  </w:style>
  <w:style w:type="paragraph" w:styleId="a4">
    <w:name w:val="Balloon Text"/>
    <w:basedOn w:val="a"/>
    <w:qFormat/>
    <w:rsid w:val="008B7471"/>
    <w:rPr>
      <w:sz w:val="18"/>
      <w:szCs w:val="18"/>
    </w:rPr>
  </w:style>
  <w:style w:type="paragraph" w:styleId="a5">
    <w:name w:val="footer"/>
    <w:basedOn w:val="a"/>
    <w:qFormat/>
    <w:rsid w:val="008B7471"/>
    <w:pPr>
      <w:tabs>
        <w:tab w:val="center" w:pos="4153"/>
        <w:tab w:val="right" w:pos="8306"/>
      </w:tabs>
      <w:snapToGrid w:val="0"/>
      <w:jc w:val="left"/>
    </w:pPr>
    <w:rPr>
      <w:sz w:val="18"/>
      <w:szCs w:val="18"/>
    </w:rPr>
  </w:style>
  <w:style w:type="paragraph" w:styleId="a6">
    <w:name w:val="header"/>
    <w:basedOn w:val="a"/>
    <w:qFormat/>
    <w:rsid w:val="008B747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qFormat/>
    <w:rsid w:val="008B7471"/>
    <w:rPr>
      <w:b/>
      <w:bCs/>
    </w:rPr>
  </w:style>
  <w:style w:type="character" w:styleId="a8">
    <w:name w:val="annotation reference"/>
    <w:basedOn w:val="a0"/>
    <w:qFormat/>
    <w:rsid w:val="008B7471"/>
    <w:rPr>
      <w:sz w:val="21"/>
      <w:szCs w:val="21"/>
    </w:rPr>
  </w:style>
  <w:style w:type="paragraph" w:customStyle="1" w:styleId="1">
    <w:name w:val="列出段落1"/>
    <w:basedOn w:val="a"/>
    <w:qFormat/>
    <w:rsid w:val="008B7471"/>
    <w:pPr>
      <w:ind w:firstLineChars="200" w:firstLine="200"/>
    </w:pPr>
  </w:style>
  <w:style w:type="paragraph" w:customStyle="1" w:styleId="10">
    <w:name w:val="修订1"/>
    <w:hidden/>
    <w:uiPriority w:val="99"/>
    <w:semiHidden/>
    <w:qFormat/>
    <w:rsid w:val="008B7471"/>
    <w:rPr>
      <w:rFonts w:ascii="Calibri" w:hAnsi="Calibri"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0</DocSecurity>
  <Lines>37</Lines>
  <Paragraphs>10</Paragraphs>
  <ScaleCrop>false</ScaleCrop>
  <Company>Microsoft</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福建省困难群众救助补助资金管理办法</dc:title>
  <dc:creator>社会救助处/卢六周</dc:creator>
  <cp:lastModifiedBy>null</cp:lastModifiedBy>
  <cp:revision>3</cp:revision>
  <cp:lastPrinted>2021-09-27T09:26:00Z</cp:lastPrinted>
  <dcterms:created xsi:type="dcterms:W3CDTF">2021-09-27T09:26:00Z</dcterms:created>
  <dcterms:modified xsi:type="dcterms:W3CDTF">2021-09-27T09:26:00Z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