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8"/>
        <w:tblW w:w="10260" w:type="dxa"/>
        <w:tblInd w:w="0" w:type="dxa"/>
        <w:tblBorders>
          <w:top w:val="single" w:color="AEAFB0" w:sz="4" w:space="0"/>
          <w:left w:val="none" w:color="auto" w:sz="0" w:space="0"/>
          <w:bottom w:val="single" w:color="AEAFB0" w:sz="4" w:space="0"/>
          <w:right w:val="none" w:color="auto" w:sz="0" w:space="0"/>
          <w:insideH w:val="none" w:color="auto" w:sz="0" w:space="0"/>
          <w:insideV w:val="none" w:color="auto" w:sz="0" w:space="0"/>
        </w:tblBorders>
        <w:tblLayout w:type="autofit"/>
        <w:tblCellMar>
          <w:top w:w="101" w:type="dxa"/>
          <w:left w:w="144" w:type="dxa"/>
          <w:bottom w:w="58" w:type="dxa"/>
          <w:right w:w="288" w:type="dxa"/>
        </w:tblCellMar>
      </w:tblPr>
      <w:tblGrid>
        <w:gridCol w:w="3350"/>
        <w:gridCol w:w="1980"/>
        <w:gridCol w:w="555"/>
        <w:gridCol w:w="4375"/>
      </w:tblGrid>
      <w:tr>
        <w:tblPrEx>
          <w:tblBorders>
            <w:top w:val="single" w:color="AEAFB0" w:sz="4" w:space="0"/>
            <w:left w:val="none" w:color="auto" w:sz="0" w:space="0"/>
            <w:bottom w:val="single" w:color="AEAFB0" w:sz="4" w:space="0"/>
            <w:right w:val="none" w:color="auto" w:sz="0" w:space="0"/>
            <w:insideH w:val="none" w:color="auto" w:sz="0" w:space="0"/>
            <w:insideV w:val="none" w:color="auto" w:sz="0" w:space="0"/>
          </w:tblBorders>
          <w:tblCellMar>
            <w:top w:w="101" w:type="dxa"/>
            <w:left w:w="144" w:type="dxa"/>
            <w:bottom w:w="58" w:type="dxa"/>
            <w:right w:w="288" w:type="dxa"/>
          </w:tblCellMar>
        </w:tblPrEx>
        <w:trPr>
          <w:trHeight w:val="438" w:hRule="atLeast"/>
        </w:trPr>
        <w:tc>
          <w:tcPr>
            <w:tcW w:w="5330" w:type="dxa"/>
            <w:gridSpan w:val="2"/>
            <w:tcBorders>
              <w:bottom w:val="single" w:color="AEAFB0" w:sz="4" w:space="0"/>
            </w:tcBorders>
            <w:noWrap w:val="0"/>
            <w:vAlign w:val="center"/>
          </w:tcPr>
          <w:p>
            <w:pPr>
              <w:spacing w:after="0" w:line="240" w:lineRule="auto"/>
              <w:ind w:left="-4" w:right="-90"/>
              <w:rPr>
                <w:rFonts w:ascii="宋体" w:hAnsi="宋体" w:eastAsia="宋体" w:cs="宋体"/>
                <w:b/>
                <w:bCs/>
                <w:sz w:val="32"/>
                <w:szCs w:val="32"/>
              </w:rPr>
            </w:pPr>
            <w:bookmarkStart w:id="0" w:name="_Hlk193184305"/>
            <w:bookmarkEnd w:id="0"/>
            <w:bookmarkStart w:id="1" w:name="_GoBack"/>
            <w:bookmarkEnd w:id="1"/>
            <w:r>
              <w:rPr>
                <w:rFonts w:hint="eastAsia" w:ascii="Arial" w:hAnsi="Arial" w:cs="Arial"/>
                <w:b/>
                <w:bCs/>
                <w:sz w:val="32"/>
                <w:szCs w:val="32"/>
                <w:lang w:val="en-US" w:eastAsia="zh-CN"/>
              </w:rPr>
              <w:t>司法管辖区</w:t>
            </w:r>
            <w:r>
              <w:rPr>
                <w:rFonts w:hint="eastAsia" w:ascii="宋体" w:hAnsi="宋体" w:cs="宋体"/>
                <w:b/>
                <w:bCs/>
                <w:sz w:val="32"/>
                <w:szCs w:val="32"/>
                <w:lang w:eastAsia="zh-CN"/>
              </w:rPr>
              <w:t>概览</w:t>
            </w:r>
            <w:r>
              <w:rPr>
                <w:rFonts w:ascii="宋体" w:hAnsi="宋体" w:eastAsia="宋体" w:cs="宋体"/>
                <w:b/>
                <w:bCs/>
                <w:sz w:val="32"/>
                <w:szCs w:val="32"/>
              </w:rPr>
              <w:t>：</w:t>
            </w:r>
          </w:p>
          <w:p>
            <w:pPr>
              <w:spacing w:after="0" w:line="240" w:lineRule="auto"/>
              <w:ind w:left="-4" w:right="-90"/>
              <w:rPr>
                <w:rFonts w:ascii="Arial" w:hAnsi="Arial" w:cs="Arial"/>
                <w:b w:val="0"/>
                <w:bCs w:val="0"/>
                <w:sz w:val="32"/>
                <w:szCs w:val="32"/>
                <w:highlight w:val="yellow"/>
              </w:rPr>
            </w:pPr>
            <w:r>
              <w:rPr>
                <w:rFonts w:ascii="宋体" w:hAnsi="宋体" w:eastAsia="宋体" w:cs="宋体"/>
                <w:b w:val="0"/>
                <w:bCs w:val="0"/>
                <w:sz w:val="32"/>
                <w:szCs w:val="32"/>
              </w:rPr>
              <w:t>中华人民共和国</w:t>
            </w:r>
          </w:p>
        </w:tc>
        <w:tc>
          <w:tcPr>
            <w:tcW w:w="555" w:type="dxa"/>
            <w:tcBorders>
              <w:bottom w:val="single" w:color="AEAFB0" w:sz="4" w:space="0"/>
            </w:tcBorders>
            <w:noWrap w:val="0"/>
            <w:vAlign w:val="center"/>
          </w:tcPr>
          <w:p>
            <w:pPr>
              <w:spacing w:after="0" w:line="240" w:lineRule="auto"/>
              <w:ind w:left="-4" w:right="-90"/>
              <w:rPr>
                <w:rFonts w:ascii="Arial" w:hAnsi="Arial" w:cs="Arial"/>
                <w:b/>
                <w:bCs/>
                <w:sz w:val="20"/>
                <w:szCs w:val="20"/>
              </w:rPr>
            </w:pPr>
          </w:p>
        </w:tc>
        <w:tc>
          <w:tcPr>
            <w:tcW w:w="4375" w:type="dxa"/>
            <w:tcBorders>
              <w:bottom w:val="single" w:color="AEAFB0" w:sz="4" w:space="0"/>
            </w:tcBorders>
            <w:noWrap w:val="0"/>
            <w:vAlign w:val="center"/>
          </w:tcPr>
          <w:p>
            <w:pPr>
              <w:spacing w:after="0" w:line="240" w:lineRule="auto"/>
              <w:ind w:left="-4" w:right="-90"/>
              <w:jc w:val="right"/>
              <w:rPr>
                <w:rFonts w:ascii="Arial" w:hAnsi="Arial" w:cs="Arial"/>
                <w:b/>
                <w:bCs/>
                <w:sz w:val="20"/>
                <w:szCs w:val="20"/>
              </w:rPr>
            </w:pPr>
            <w:r>
              <w:rPr>
                <w:b/>
                <w:bCs/>
                <w:sz w:val="28"/>
                <w:lang w:val="en-US"/>
              </w:rPr>
              <w:drawing>
                <wp:inline distT="0" distB="0" distL="114300" distR="114300">
                  <wp:extent cx="895350" cy="588010"/>
                  <wp:effectExtent l="0" t="0" r="0" b="2540"/>
                  <wp:docPr id="1" name="Picture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true"/>
                          </pic:cNvPicPr>
                        </pic:nvPicPr>
                        <pic:blipFill>
                          <a:blip r:embed="rId12"/>
                          <a:stretch>
                            <a:fillRect/>
                          </a:stretch>
                        </pic:blipFill>
                        <pic:spPr>
                          <a:xfrm>
                            <a:off x="0" y="0"/>
                            <a:ext cx="895350" cy="588010"/>
                          </a:xfrm>
                          <a:prstGeom prst="rect">
                            <a:avLst/>
                          </a:prstGeom>
                          <a:noFill/>
                          <a:ln>
                            <a:noFill/>
                          </a:ln>
                        </pic:spPr>
                      </pic:pic>
                    </a:graphicData>
                  </a:graphic>
                </wp:inline>
              </w:drawing>
            </w:r>
          </w:p>
        </w:tc>
      </w:tr>
      <w:tr>
        <w:tblPrEx>
          <w:tblBorders>
            <w:top w:val="single" w:color="AEAFB0" w:sz="4" w:space="0"/>
            <w:left w:val="none" w:color="auto" w:sz="0" w:space="0"/>
            <w:bottom w:val="single" w:color="AEAFB0" w:sz="4" w:space="0"/>
            <w:right w:val="none" w:color="auto" w:sz="0" w:space="0"/>
            <w:insideH w:val="none" w:color="auto" w:sz="0" w:space="0"/>
            <w:insideV w:val="none" w:color="auto" w:sz="0" w:space="0"/>
          </w:tblBorders>
          <w:tblCellMar>
            <w:top w:w="101" w:type="dxa"/>
            <w:left w:w="144" w:type="dxa"/>
            <w:bottom w:w="58" w:type="dxa"/>
            <w:right w:w="288" w:type="dxa"/>
          </w:tblCellMar>
        </w:tblPrEx>
        <w:trPr>
          <w:trHeight w:val="2665" w:hRule="atLeast"/>
        </w:trPr>
        <w:tc>
          <w:tcPr>
            <w:tcW w:w="10260" w:type="dxa"/>
            <w:gridSpan w:val="4"/>
            <w:tcBorders>
              <w:top w:val="single" w:color="AEAFB0" w:sz="4" w:space="0"/>
              <w:bottom w:val="single" w:color="AEAFB0" w:sz="4" w:space="0"/>
            </w:tcBorders>
            <w:noWrap w:val="0"/>
            <w:vAlign w:val="top"/>
          </w:tcPr>
          <w:p>
            <w:pPr>
              <w:spacing w:after="0" w:line="240" w:lineRule="auto"/>
              <w:ind w:left="-4" w:right="-90"/>
              <w:jc w:val="center"/>
              <w:rPr>
                <w:rFonts w:ascii="Arial" w:hAnsi="Arial" w:cs="Arial"/>
                <w:i/>
                <w:iCs/>
                <w:sz w:val="20"/>
                <w:szCs w:val="20"/>
              </w:rPr>
            </w:pPr>
          </w:p>
          <w:p>
            <w:pPr>
              <w:spacing w:after="0" w:line="240" w:lineRule="auto"/>
              <w:ind w:left="-4" w:right="-90"/>
              <w:jc w:val="center"/>
              <w:rPr>
                <w:rFonts w:hint="eastAsia" w:ascii="宋体" w:hAnsi="宋体" w:eastAsia="宋体" w:cs="宋体"/>
                <w:i/>
                <w:iCs/>
                <w:sz w:val="20"/>
                <w:szCs w:val="20"/>
                <w:lang w:eastAsia="zh-CN"/>
              </w:rPr>
            </w:pPr>
            <w:r>
              <w:rPr>
                <w:rFonts w:ascii="宋体" w:hAnsi="宋体" w:eastAsia="宋体" w:cs="宋体"/>
                <w:i/>
                <w:iCs/>
                <w:sz w:val="20"/>
                <w:szCs w:val="20"/>
              </w:rPr>
              <w:t>“财政部和其他9部委</w:t>
            </w:r>
            <w:r>
              <w:rPr>
                <w:rFonts w:hint="eastAsia" w:ascii="宋体" w:hAnsi="宋体" w:cs="宋体"/>
                <w:i/>
                <w:iCs/>
                <w:sz w:val="20"/>
                <w:szCs w:val="20"/>
                <w:lang w:val="en-US" w:eastAsia="zh-CN"/>
              </w:rPr>
              <w:t>致力于</w:t>
            </w:r>
            <w:r>
              <w:rPr>
                <w:rFonts w:hint="eastAsia" w:ascii="宋体" w:hAnsi="宋体" w:cs="宋体"/>
                <w:i/>
                <w:iCs/>
                <w:sz w:val="20"/>
                <w:szCs w:val="20"/>
                <w:lang w:eastAsia="zh-CN"/>
              </w:rPr>
              <w:t>制定体现国际可持续披露准则有益经验、符合中国国情且能彰显中国特色的国家统一的可持续披露准则。</w:t>
            </w:r>
            <w:r>
              <w:rPr>
                <w:rFonts w:ascii="宋体" w:hAnsi="宋体" w:eastAsia="宋体" w:cs="宋体"/>
                <w:i/>
                <w:iCs/>
                <w:sz w:val="20"/>
                <w:szCs w:val="20"/>
              </w:rPr>
              <w:t>2024年11月20日，财政部和其他部委联合发布了《</w:t>
            </w:r>
            <w:r>
              <w:rPr>
                <w:rFonts w:hint="eastAsia" w:ascii="宋体" w:hAnsi="宋体" w:eastAsia="宋体" w:cs="宋体"/>
                <w:i/>
                <w:iCs/>
                <w:sz w:val="20"/>
                <w:szCs w:val="20"/>
              </w:rPr>
              <w:t>企业可持续披露准则——基本准则（试行）</w:t>
            </w:r>
            <w:r>
              <w:rPr>
                <w:rFonts w:ascii="宋体" w:hAnsi="宋体" w:eastAsia="宋体" w:cs="宋体"/>
                <w:i/>
                <w:iCs/>
                <w:sz w:val="20"/>
                <w:szCs w:val="20"/>
              </w:rPr>
              <w:t>》，拉开了国家统一的可持续</w:t>
            </w:r>
            <w:r>
              <w:rPr>
                <w:rFonts w:hint="eastAsia" w:ascii="宋体" w:hAnsi="宋体" w:cs="宋体"/>
                <w:i/>
                <w:iCs/>
                <w:sz w:val="20"/>
                <w:szCs w:val="20"/>
                <w:lang w:val="en-US" w:eastAsia="zh-CN"/>
              </w:rPr>
              <w:t>披露准则</w:t>
            </w:r>
            <w:r>
              <w:rPr>
                <w:rFonts w:ascii="宋体" w:hAnsi="宋体" w:eastAsia="宋体" w:cs="宋体"/>
                <w:i/>
                <w:iCs/>
                <w:sz w:val="20"/>
                <w:szCs w:val="20"/>
              </w:rPr>
              <w:t>体系</w:t>
            </w:r>
            <w:r>
              <w:rPr>
                <w:rFonts w:hint="eastAsia" w:ascii="宋体" w:hAnsi="宋体" w:cs="宋体"/>
                <w:i/>
                <w:iCs/>
                <w:sz w:val="20"/>
                <w:szCs w:val="20"/>
                <w:lang w:val="en-US" w:eastAsia="zh-CN"/>
              </w:rPr>
              <w:t>建设</w:t>
            </w:r>
            <w:r>
              <w:rPr>
                <w:rFonts w:ascii="宋体" w:hAnsi="宋体" w:eastAsia="宋体" w:cs="宋体"/>
                <w:i/>
                <w:iCs/>
                <w:sz w:val="20"/>
                <w:szCs w:val="20"/>
              </w:rPr>
              <w:t>的序幕。</w:t>
            </w:r>
            <w:r>
              <w:rPr>
                <w:rFonts w:hint="eastAsia" w:ascii="宋体" w:hAnsi="宋体" w:cs="宋体"/>
                <w:i/>
                <w:iCs/>
                <w:sz w:val="20"/>
                <w:szCs w:val="20"/>
                <w:lang w:eastAsia="zh-CN"/>
              </w:rPr>
              <w:t>中国可持续披露准则</w:t>
            </w:r>
            <w:r>
              <w:rPr>
                <w:rFonts w:hint="eastAsia" w:ascii="宋体" w:hAnsi="宋体" w:cs="宋体"/>
                <w:i/>
                <w:iCs/>
                <w:sz w:val="20"/>
                <w:szCs w:val="20"/>
                <w:lang w:val="en-US" w:eastAsia="zh-CN"/>
              </w:rPr>
              <w:t>采取</w:t>
            </w:r>
            <w:r>
              <w:rPr>
                <w:rFonts w:hint="eastAsia" w:ascii="宋体" w:hAnsi="宋体" w:cs="宋体"/>
                <w:i/>
                <w:iCs/>
                <w:sz w:val="20"/>
                <w:szCs w:val="20"/>
                <w:lang w:eastAsia="zh-CN"/>
              </w:rPr>
              <w:t>与国际准则趋同策略。”</w:t>
            </w:r>
          </w:p>
          <w:p>
            <w:pPr>
              <w:spacing w:after="0" w:line="240" w:lineRule="auto"/>
              <w:ind w:left="-4" w:right="-90"/>
              <w:jc w:val="center"/>
              <w:rPr>
                <w:rFonts w:ascii="宋体" w:hAnsi="宋体" w:eastAsia="宋体" w:cs="宋体"/>
                <w:i/>
                <w:iCs/>
                <w:sz w:val="20"/>
                <w:szCs w:val="20"/>
              </w:rPr>
            </w:pPr>
          </w:p>
          <w:p>
            <w:pPr>
              <w:tabs>
                <w:tab w:val="center" w:pos="4957"/>
                <w:tab w:val="left" w:pos="8080"/>
              </w:tabs>
              <w:spacing w:after="0" w:line="240" w:lineRule="auto"/>
              <w:ind w:left="-4" w:right="-90"/>
              <w:rPr>
                <w:rFonts w:ascii="Arial" w:hAnsi="Arial" w:cs="Arial"/>
                <w:i/>
                <w:iCs/>
                <w:sz w:val="20"/>
                <w:szCs w:val="20"/>
              </w:rPr>
            </w:pPr>
            <w:r>
              <w:rPr>
                <w:rFonts w:ascii="Arial" w:hAnsi="Arial" w:cs="Arial"/>
                <w:i/>
                <w:iCs/>
                <w:sz w:val="20"/>
                <w:szCs w:val="20"/>
              </w:rPr>
              <w:tab/>
            </w:r>
            <w:r>
              <w:rPr>
                <w:rFonts w:hint="eastAsia" w:ascii="Arial" w:hAnsi="Arial" w:cs="Arial"/>
                <w:i/>
                <w:iCs/>
                <w:sz w:val="20"/>
                <w:szCs w:val="20"/>
              </w:rPr>
              <w:t>中华人民共和国财政部</w:t>
            </w:r>
            <w:r>
              <w:rPr>
                <w:rFonts w:ascii="Arial" w:hAnsi="Arial" w:cs="Arial"/>
                <w:i/>
                <w:iCs/>
                <w:sz w:val="20"/>
                <w:szCs w:val="20"/>
              </w:rPr>
              <w:tab/>
            </w:r>
          </w:p>
          <w:p>
            <w:pPr>
              <w:spacing w:after="0" w:line="240" w:lineRule="auto"/>
              <w:ind w:left="-4" w:right="-90"/>
              <w:jc w:val="center"/>
              <w:rPr>
                <w:rFonts w:ascii="Arial" w:hAnsi="Arial" w:cs="Arial"/>
                <w:sz w:val="20"/>
                <w:szCs w:val="20"/>
              </w:rPr>
            </w:pPr>
          </w:p>
          <w:p>
            <w:pPr>
              <w:spacing w:after="0" w:line="240" w:lineRule="auto"/>
              <w:ind w:left="-4" w:right="-90"/>
              <w:jc w:val="both"/>
              <w:rPr>
                <w:rFonts w:ascii="Arial" w:hAnsi="Arial" w:cs="Arial"/>
                <w:sz w:val="20"/>
                <w:szCs w:val="20"/>
              </w:rPr>
            </w:pPr>
          </w:p>
        </w:tc>
      </w:tr>
      <w:tr>
        <w:tblPrEx>
          <w:tblBorders>
            <w:top w:val="single" w:color="AEAFB0" w:sz="4" w:space="0"/>
            <w:left w:val="none" w:color="auto" w:sz="0" w:space="0"/>
            <w:bottom w:val="single" w:color="AEAFB0" w:sz="4" w:space="0"/>
            <w:right w:val="none" w:color="auto" w:sz="0" w:space="0"/>
            <w:insideH w:val="none" w:color="auto" w:sz="0" w:space="0"/>
            <w:insideV w:val="none" w:color="auto" w:sz="0" w:space="0"/>
          </w:tblBorders>
          <w:tblCellMar>
            <w:top w:w="101" w:type="dxa"/>
            <w:left w:w="144" w:type="dxa"/>
            <w:bottom w:w="58" w:type="dxa"/>
            <w:right w:w="288" w:type="dxa"/>
          </w:tblCellMar>
        </w:tblPrEx>
        <w:trPr>
          <w:trHeight w:val="2721" w:hRule="atLeast"/>
        </w:trPr>
        <w:tc>
          <w:tcPr>
            <w:tcW w:w="10260" w:type="dxa"/>
            <w:gridSpan w:val="4"/>
            <w:noWrap w:val="0"/>
            <w:vAlign w:val="center"/>
          </w:tcPr>
          <w:p>
            <w:pPr>
              <w:keepNext w:val="0"/>
              <w:keepLines w:val="0"/>
              <w:widowControl/>
              <w:suppressLineNumbers w:val="0"/>
              <w:jc w:val="both"/>
              <w:rPr>
                <w:rFonts w:hint="eastAsia" w:ascii="宋体" w:hAnsi="宋体" w:cs="宋体"/>
                <w:i/>
                <w:iCs/>
                <w:sz w:val="20"/>
                <w:szCs w:val="20"/>
              </w:rPr>
            </w:pPr>
            <w:r>
              <w:rPr>
                <w:rFonts w:hint="eastAsia" w:ascii="宋体" w:hAnsi="宋体" w:eastAsia="宋体" w:cs="宋体"/>
                <w:i/>
                <w:iCs/>
                <w:sz w:val="20"/>
                <w:szCs w:val="20"/>
              </w:rPr>
              <w:t>国际财务报告准则基金会（IFRS Foundation）现就司法管辖区</w:t>
            </w:r>
            <w:r>
              <w:rPr>
                <w:rFonts w:hint="eastAsia" w:ascii="宋体" w:hAnsi="宋体" w:cs="宋体"/>
                <w:i/>
                <w:iCs/>
                <w:sz w:val="20"/>
                <w:szCs w:val="20"/>
                <w:lang w:eastAsia="zh-CN"/>
              </w:rPr>
              <w:t>监管</w:t>
            </w:r>
            <w:r>
              <w:rPr>
                <w:rFonts w:hint="eastAsia" w:ascii="宋体" w:hAnsi="宋体" w:eastAsia="宋体" w:cs="宋体"/>
                <w:i/>
                <w:iCs/>
                <w:sz w:val="20"/>
                <w:szCs w:val="20"/>
                <w:lang w:eastAsia="zh-CN"/>
              </w:rPr>
              <w:t>路径提供高级别概览，</w:t>
            </w:r>
            <w:r>
              <w:rPr>
                <w:rFonts w:hint="eastAsia" w:ascii="宋体" w:hAnsi="宋体" w:eastAsia="宋体" w:cs="宋体"/>
                <w:i/>
                <w:iCs/>
                <w:sz w:val="20"/>
                <w:szCs w:val="20"/>
                <w:lang w:val="en-US" w:eastAsia="zh-CN"/>
              </w:rPr>
              <w:t>内容包括对司法管辖区</w:t>
            </w:r>
            <w:r>
              <w:rPr>
                <w:rFonts w:hint="eastAsia" w:ascii="宋体" w:hAnsi="宋体" w:cs="宋体"/>
                <w:i/>
                <w:iCs/>
                <w:sz w:val="20"/>
                <w:szCs w:val="20"/>
                <w:lang w:val="en-US" w:eastAsia="zh-CN"/>
              </w:rPr>
              <w:t>提议或</w:t>
            </w:r>
            <w:r>
              <w:rPr>
                <w:rFonts w:hint="eastAsia" w:ascii="宋体" w:hAnsi="宋体" w:eastAsia="宋体" w:cs="宋体"/>
                <w:i/>
                <w:iCs/>
                <w:sz w:val="20"/>
                <w:szCs w:val="20"/>
                <w:lang w:val="en-US" w:eastAsia="zh-CN"/>
              </w:rPr>
              <w:t>表明其计划</w:t>
            </w:r>
            <w:r>
              <w:rPr>
                <w:rFonts w:hint="eastAsia" w:ascii="宋体" w:hAnsi="宋体" w:eastAsia="宋体" w:cs="宋体"/>
                <w:i/>
                <w:iCs/>
                <w:sz w:val="20"/>
                <w:szCs w:val="20"/>
              </w:rPr>
              <w:t>采</w:t>
            </w:r>
            <w:r>
              <w:rPr>
                <w:rFonts w:hint="eastAsia" w:ascii="宋体" w:hAnsi="宋体" w:eastAsia="宋体" w:cs="宋体"/>
                <w:i/>
                <w:iCs/>
                <w:sz w:val="20"/>
                <w:szCs w:val="20"/>
                <w:lang w:eastAsia="zh-CN"/>
              </w:rPr>
              <w:t>用</w:t>
            </w:r>
            <w:r>
              <w:rPr>
                <w:rFonts w:hint="eastAsia" w:ascii="宋体" w:hAnsi="宋体" w:eastAsia="宋体" w:cs="宋体"/>
                <w:i/>
                <w:iCs/>
                <w:sz w:val="20"/>
                <w:szCs w:val="20"/>
              </w:rPr>
              <w:t>或</w:t>
            </w:r>
            <w:r>
              <w:rPr>
                <w:rFonts w:hint="eastAsia" w:ascii="宋体" w:hAnsi="宋体" w:eastAsia="宋体" w:cs="宋体"/>
                <w:i/>
                <w:iCs/>
                <w:sz w:val="20"/>
                <w:szCs w:val="20"/>
                <w:lang w:eastAsia="zh-CN"/>
              </w:rPr>
              <w:t>其他方式使</w:t>
            </w:r>
            <w:r>
              <w:rPr>
                <w:rFonts w:hint="eastAsia" w:ascii="宋体" w:hAnsi="宋体" w:eastAsia="宋体" w:cs="宋体"/>
                <w:i/>
                <w:iCs/>
                <w:sz w:val="20"/>
                <w:szCs w:val="20"/>
              </w:rPr>
              <w:t>用</w:t>
            </w:r>
            <w:r>
              <w:rPr>
                <w:rFonts w:hint="eastAsia" w:ascii="宋体" w:hAnsi="宋体" w:eastAsia="宋体" w:cs="宋体"/>
                <w:i/>
                <w:iCs/>
                <w:sz w:val="20"/>
                <w:szCs w:val="20"/>
                <w:lang w:val="en-US" w:eastAsia="zh-CN"/>
              </w:rPr>
              <w:t>ISSB准则（包括旨在实现与应用《国际财务报告可持续披露准则第1号》（IFRS S1）和《国际财务报告可持续披露准则第2号》（IFRS S2）所达成功能性一致的结果的本地可持续相关披露要求或准则）的描述。国际财务报告准则</w:t>
            </w:r>
            <w:r>
              <w:rPr>
                <w:rFonts w:hint="eastAsia" w:ascii="宋体" w:hAnsi="宋体" w:eastAsia="宋体" w:cs="宋体"/>
                <w:i/>
                <w:iCs/>
                <w:sz w:val="20"/>
                <w:szCs w:val="20"/>
                <w:lang w:eastAsia="zh-CN"/>
              </w:rPr>
              <w:t>基金会</w:t>
            </w:r>
            <w:r>
              <w:rPr>
                <w:rFonts w:hint="eastAsia" w:ascii="宋体" w:hAnsi="宋体" w:eastAsia="宋体" w:cs="宋体"/>
                <w:i/>
                <w:iCs/>
                <w:sz w:val="20"/>
                <w:szCs w:val="20"/>
              </w:rPr>
              <w:t>已对拟议监管框架开展初步审查，</w:t>
            </w:r>
            <w:r>
              <w:rPr>
                <w:rFonts w:hint="eastAsia" w:ascii="宋体" w:hAnsi="宋体" w:eastAsia="宋体" w:cs="宋体"/>
                <w:i/>
                <w:iCs/>
                <w:sz w:val="20"/>
                <w:szCs w:val="20"/>
                <w:lang w:val="en-US" w:eastAsia="zh-CN"/>
              </w:rPr>
              <w:t>最终的司法管辖区路径可能与本文件提供的初步总结存在差异。因此，本概览可能与国际财务报告准则基金会未来发布的司法管辖区档案内容存在不同，包括因司法管辖区在最终确定其可持续相关报告路径时补充信息或作出调整所导致的差异。</w:t>
            </w:r>
          </w:p>
          <w:p>
            <w:pPr>
              <w:spacing w:after="0" w:line="240" w:lineRule="auto"/>
              <w:ind w:right="-90"/>
              <w:jc w:val="left"/>
              <w:rPr>
                <w:rFonts w:hint="eastAsia" w:ascii="Arial" w:hAnsi="Arial" w:eastAsia="宋体" w:cs="Arial"/>
                <w:sz w:val="20"/>
                <w:szCs w:val="20"/>
                <w:lang w:eastAsia="zh-CN"/>
              </w:rPr>
            </w:pPr>
          </w:p>
        </w:tc>
      </w:tr>
      <w:tr>
        <w:tblPrEx>
          <w:tblBorders>
            <w:top w:val="single" w:color="AEAFB0" w:sz="4" w:space="0"/>
            <w:left w:val="none" w:color="auto" w:sz="0" w:space="0"/>
            <w:bottom w:val="single" w:color="AEAFB0" w:sz="4" w:space="0"/>
            <w:right w:val="none" w:color="auto" w:sz="0" w:space="0"/>
            <w:insideH w:val="none" w:color="auto" w:sz="0" w:space="0"/>
            <w:insideV w:val="none" w:color="auto" w:sz="0" w:space="0"/>
          </w:tblBorders>
          <w:tblCellMar>
            <w:top w:w="101" w:type="dxa"/>
            <w:left w:w="144" w:type="dxa"/>
            <w:bottom w:w="58" w:type="dxa"/>
            <w:right w:w="288" w:type="dxa"/>
          </w:tblCellMar>
        </w:tblPrEx>
        <w:trPr>
          <w:trHeight w:val="1134" w:hRule="atLeast"/>
        </w:trPr>
        <w:tc>
          <w:tcPr>
            <w:tcW w:w="3350" w:type="dxa"/>
            <w:tcBorders>
              <w:top w:val="single" w:color="AEAFB0" w:sz="4" w:space="0"/>
              <w:bottom w:val="single" w:color="AEAFB0" w:sz="4" w:space="0"/>
            </w:tcBorders>
            <w:shd w:val="clear" w:color="auto" w:fill="CEEBF8"/>
            <w:noWrap w:val="0"/>
            <w:vAlign w:val="top"/>
          </w:tcPr>
          <w:p>
            <w:pPr>
              <w:spacing w:after="0" w:line="240" w:lineRule="auto"/>
              <w:ind w:left="-4" w:right="-90"/>
              <w:jc w:val="right"/>
              <w:rPr>
                <w:rFonts w:ascii="Arial" w:hAnsi="Arial" w:cs="Arial"/>
                <w:b/>
                <w:bCs/>
                <w:sz w:val="20"/>
                <w:szCs w:val="20"/>
              </w:rPr>
            </w:pPr>
            <w:r>
              <w:rPr>
                <w:rFonts w:ascii="宋体" w:hAnsi="宋体" w:eastAsia="宋体" w:cs="宋体"/>
                <w:b/>
                <w:bCs/>
                <w:sz w:val="20"/>
                <w:szCs w:val="20"/>
              </w:rPr>
              <w:t>监管阶段</w:t>
            </w:r>
          </w:p>
        </w:tc>
        <w:tc>
          <w:tcPr>
            <w:tcW w:w="6910" w:type="dxa"/>
            <w:gridSpan w:val="3"/>
            <w:tcBorders>
              <w:top w:val="single" w:color="AEAFB0" w:sz="4" w:space="0"/>
              <w:bottom w:val="single" w:color="AEAFB0" w:sz="4" w:space="0"/>
            </w:tcBorders>
            <w:noWrap w:val="0"/>
            <w:vAlign w:val="top"/>
          </w:tcPr>
          <w:p>
            <w:pPr>
              <w:shd w:val="clear" w:color="auto" w:fill="auto"/>
              <w:spacing w:after="0" w:line="240" w:lineRule="auto"/>
              <w:ind w:left="-4" w:right="-90"/>
              <w:jc w:val="both"/>
              <w:rPr>
                <w:rFonts w:ascii="宋体" w:hAnsi="宋体" w:eastAsia="宋体" w:cs="宋体"/>
                <w:color w:val="auto"/>
                <w:sz w:val="20"/>
                <w:szCs w:val="20"/>
                <w:shd w:val="clear" w:color="auto" w:fill="auto"/>
                <w:lang w:eastAsia="zh-CN"/>
              </w:rPr>
            </w:pPr>
            <w:r>
              <w:rPr>
                <w:rFonts w:ascii="宋体" w:hAnsi="宋体" w:eastAsia="宋体" w:cs="宋体"/>
                <w:color w:val="auto"/>
                <w:sz w:val="20"/>
                <w:szCs w:val="20"/>
                <w:shd w:val="clear" w:color="auto" w:fill="auto"/>
                <w:lang w:eastAsia="zh-CN"/>
              </w:rPr>
              <w:t>财政部</w:t>
            </w:r>
            <w:r>
              <w:rPr>
                <w:rFonts w:hint="default" w:ascii="宋体" w:hAnsi="宋体" w:eastAsia="宋体" w:cs="宋体"/>
                <w:color w:val="auto"/>
                <w:sz w:val="20"/>
                <w:szCs w:val="20"/>
                <w:shd w:val="clear" w:color="auto" w:fill="auto"/>
                <w:lang w:eastAsia="zh-CN"/>
              </w:rPr>
              <w:t>会同</w:t>
            </w:r>
            <w:r>
              <w:rPr>
                <w:rFonts w:ascii="宋体" w:hAnsi="宋体" w:eastAsia="宋体" w:cs="宋体"/>
                <w:color w:val="auto"/>
                <w:sz w:val="20"/>
                <w:szCs w:val="20"/>
                <w:shd w:val="clear" w:color="auto" w:fill="auto"/>
                <w:lang w:eastAsia="zh-CN"/>
              </w:rPr>
              <w:t>其他</w:t>
            </w:r>
            <w:r>
              <w:rPr>
                <w:rFonts w:hint="eastAsia" w:ascii="宋体" w:hAnsi="宋体" w:cs="宋体"/>
                <w:color w:val="auto"/>
                <w:sz w:val="20"/>
                <w:szCs w:val="20"/>
                <w:shd w:val="clear" w:color="auto" w:fill="auto"/>
                <w:lang w:val="en-US" w:eastAsia="zh-CN"/>
              </w:rPr>
              <w:t>9</w:t>
            </w:r>
            <w:r>
              <w:rPr>
                <w:rFonts w:ascii="宋体" w:hAnsi="宋体" w:eastAsia="宋体" w:cs="宋体"/>
                <w:color w:val="auto"/>
                <w:sz w:val="20"/>
                <w:szCs w:val="20"/>
                <w:shd w:val="clear" w:color="auto" w:fill="auto"/>
                <w:lang w:eastAsia="zh-CN"/>
              </w:rPr>
              <w:t>部委在中国成立了</w:t>
            </w:r>
            <w:r>
              <w:rPr>
                <w:rFonts w:hint="default" w:ascii="宋体" w:hAnsi="宋体" w:eastAsia="宋体" w:cs="宋体"/>
                <w:color w:val="auto"/>
                <w:sz w:val="20"/>
                <w:szCs w:val="20"/>
                <w:shd w:val="clear" w:color="auto" w:fill="auto"/>
                <w:lang w:eastAsia="zh-CN"/>
              </w:rPr>
              <w:t>跨部门工作组</w:t>
            </w:r>
            <w:r>
              <w:rPr>
                <w:rFonts w:ascii="宋体" w:hAnsi="宋体" w:eastAsia="宋体" w:cs="宋体"/>
                <w:color w:val="auto"/>
                <w:sz w:val="20"/>
                <w:szCs w:val="20"/>
                <w:shd w:val="clear" w:color="auto" w:fill="auto"/>
                <w:lang w:eastAsia="zh-CN"/>
              </w:rPr>
              <w:t>。该</w:t>
            </w:r>
            <w:r>
              <w:rPr>
                <w:rFonts w:hint="default" w:ascii="宋体" w:hAnsi="宋体" w:eastAsia="宋体" w:cs="宋体"/>
                <w:color w:val="auto"/>
                <w:sz w:val="20"/>
                <w:szCs w:val="20"/>
                <w:shd w:val="clear" w:color="auto" w:fill="auto"/>
                <w:lang w:eastAsia="zh-CN"/>
              </w:rPr>
              <w:t>工作组</w:t>
            </w:r>
            <w:r>
              <w:rPr>
                <w:rFonts w:hint="eastAsia" w:ascii="宋体" w:hAnsi="宋体" w:cs="宋体"/>
                <w:color w:val="auto"/>
                <w:sz w:val="20"/>
                <w:szCs w:val="20"/>
                <w:shd w:val="clear" w:color="auto" w:fill="auto"/>
                <w:lang w:eastAsia="zh-CN"/>
              </w:rPr>
              <w:t>旨在以</w:t>
            </w:r>
            <w:r>
              <w:rPr>
                <w:rFonts w:ascii="宋体" w:hAnsi="宋体" w:eastAsia="宋体" w:cs="宋体"/>
                <w:color w:val="auto"/>
                <w:sz w:val="20"/>
                <w:szCs w:val="20"/>
                <w:shd w:val="clear" w:color="auto" w:fill="auto"/>
                <w:lang w:eastAsia="zh-CN"/>
              </w:rPr>
              <w:t>国际准则（IFRS S1和IFRS S2）</w:t>
            </w:r>
            <w:r>
              <w:rPr>
                <w:rFonts w:hint="eastAsia" w:ascii="宋体" w:hAnsi="宋体" w:cs="宋体"/>
                <w:color w:val="auto"/>
                <w:sz w:val="20"/>
                <w:szCs w:val="20"/>
                <w:shd w:val="clear" w:color="auto" w:fill="auto"/>
                <w:lang w:eastAsia="zh-CN"/>
              </w:rPr>
              <w:t>为基础</w:t>
            </w:r>
            <w:r>
              <w:rPr>
                <w:rFonts w:hint="default" w:ascii="宋体" w:hAnsi="宋体" w:eastAsia="宋体" w:cs="宋体"/>
                <w:color w:val="auto"/>
                <w:sz w:val="20"/>
                <w:szCs w:val="20"/>
                <w:shd w:val="clear" w:color="auto" w:fill="auto"/>
                <w:lang w:val="en-US" w:eastAsia="zh-CN"/>
              </w:rPr>
              <w:t>，</w:t>
            </w:r>
            <w:r>
              <w:rPr>
                <w:rFonts w:ascii="宋体" w:hAnsi="宋体" w:eastAsia="宋体" w:cs="宋体"/>
                <w:color w:val="auto"/>
                <w:sz w:val="20"/>
                <w:szCs w:val="20"/>
                <w:shd w:val="clear" w:color="auto" w:fill="auto"/>
                <w:lang w:eastAsia="zh-CN"/>
              </w:rPr>
              <w:t>制定了</w:t>
            </w:r>
            <w:r>
              <w:rPr>
                <w:rFonts w:hint="default" w:ascii="宋体" w:hAnsi="宋体" w:eastAsia="宋体" w:cs="宋体"/>
                <w:color w:val="auto"/>
                <w:sz w:val="20"/>
                <w:szCs w:val="20"/>
                <w:shd w:val="clear" w:color="auto" w:fill="auto"/>
                <w:lang w:eastAsia="zh-CN"/>
              </w:rPr>
              <w:t>符合中国国情且能彰显中国特色的国家统一的可持续披露准则</w:t>
            </w:r>
            <w:r>
              <w:rPr>
                <w:rFonts w:ascii="宋体" w:hAnsi="宋体" w:eastAsia="宋体" w:cs="宋体"/>
                <w:color w:val="auto"/>
                <w:sz w:val="20"/>
                <w:szCs w:val="20"/>
                <w:shd w:val="clear" w:color="auto" w:fill="auto"/>
                <w:lang w:eastAsia="zh-CN"/>
              </w:rPr>
              <w:t>。</w:t>
            </w:r>
          </w:p>
          <w:p>
            <w:pPr>
              <w:shd w:val="clear" w:color="auto" w:fill="auto"/>
              <w:spacing w:after="0" w:line="240" w:lineRule="auto"/>
              <w:ind w:left="-4" w:right="-90"/>
              <w:jc w:val="both"/>
              <w:rPr>
                <w:rFonts w:ascii="宋体" w:hAnsi="宋体" w:eastAsia="宋体" w:cs="宋体"/>
                <w:color w:val="auto"/>
                <w:sz w:val="20"/>
                <w:szCs w:val="20"/>
                <w:shd w:val="clear" w:color="auto" w:fill="auto"/>
                <w:lang w:eastAsia="zh-CN"/>
              </w:rPr>
            </w:pPr>
          </w:p>
          <w:p>
            <w:pPr>
              <w:shd w:val="clear" w:color="auto" w:fill="auto"/>
              <w:spacing w:after="0" w:line="240" w:lineRule="auto"/>
              <w:ind w:left="-4" w:right="-90"/>
              <w:jc w:val="both"/>
              <w:rPr>
                <w:rFonts w:ascii="宋体" w:hAnsi="宋体" w:eastAsia="宋体" w:cs="宋体"/>
                <w:color w:val="auto"/>
                <w:sz w:val="20"/>
                <w:szCs w:val="20"/>
                <w:shd w:val="clear" w:color="auto" w:fill="auto"/>
                <w:lang w:eastAsia="zh-CN"/>
              </w:rPr>
            </w:pPr>
            <w:r>
              <w:rPr>
                <w:rFonts w:ascii="宋体" w:hAnsi="宋体" w:eastAsia="宋体" w:cs="宋体"/>
                <w:color w:val="auto"/>
                <w:sz w:val="20"/>
                <w:szCs w:val="20"/>
                <w:shd w:val="clear" w:color="auto" w:fill="auto"/>
                <w:lang w:eastAsia="zh-CN"/>
              </w:rPr>
              <w:t>国家统一的</w:t>
            </w:r>
            <w:r>
              <w:rPr>
                <w:rFonts w:hint="default" w:ascii="宋体" w:hAnsi="宋体" w:eastAsia="宋体" w:cs="宋体"/>
                <w:color w:val="auto"/>
                <w:sz w:val="20"/>
                <w:szCs w:val="20"/>
                <w:shd w:val="clear" w:color="auto" w:fill="auto"/>
                <w:lang w:eastAsia="zh-CN"/>
              </w:rPr>
              <w:t>可持续披露准则</w:t>
            </w:r>
            <w:r>
              <w:rPr>
                <w:rFonts w:ascii="宋体" w:hAnsi="宋体" w:eastAsia="宋体" w:cs="宋体"/>
                <w:color w:val="auto"/>
                <w:sz w:val="20"/>
                <w:szCs w:val="20"/>
                <w:shd w:val="clear" w:color="auto" w:fill="auto"/>
                <w:lang w:eastAsia="zh-CN"/>
              </w:rPr>
              <w:t>体系</w:t>
            </w:r>
            <w:r>
              <w:rPr>
                <w:rFonts w:hint="default" w:ascii="宋体" w:hAnsi="宋体" w:eastAsia="宋体" w:cs="宋体"/>
                <w:color w:val="auto"/>
                <w:sz w:val="20"/>
                <w:szCs w:val="20"/>
                <w:shd w:val="clear" w:color="auto" w:fill="auto"/>
                <w:lang w:eastAsia="zh-CN"/>
              </w:rPr>
              <w:t>拟</w:t>
            </w:r>
            <w:r>
              <w:rPr>
                <w:rFonts w:ascii="宋体" w:hAnsi="宋体" w:eastAsia="宋体" w:cs="宋体"/>
                <w:color w:val="auto"/>
                <w:sz w:val="20"/>
                <w:szCs w:val="20"/>
                <w:shd w:val="clear" w:color="auto" w:fill="auto"/>
                <w:lang w:eastAsia="zh-CN"/>
              </w:rPr>
              <w:t>由</w:t>
            </w:r>
            <w:r>
              <w:rPr>
                <w:rFonts w:hint="default" w:ascii="宋体" w:hAnsi="宋体" w:eastAsia="宋体" w:cs="宋体"/>
                <w:color w:val="auto"/>
                <w:sz w:val="20"/>
                <w:szCs w:val="20"/>
                <w:shd w:val="clear" w:color="auto" w:fill="auto"/>
                <w:lang w:eastAsia="zh-CN"/>
              </w:rPr>
              <w:t>《企业可持续披露准则——基本准则（试行）》</w:t>
            </w:r>
            <w:r>
              <w:rPr>
                <w:rFonts w:hint="default" w:ascii="宋体" w:hAnsi="宋体" w:eastAsia="宋体" w:cs="宋体"/>
                <w:color w:val="auto"/>
                <w:sz w:val="20"/>
                <w:szCs w:val="20"/>
                <w:shd w:val="clear" w:color="auto" w:fill="auto"/>
                <w:lang w:val="en-US" w:eastAsia="zh-CN"/>
              </w:rPr>
              <w:t>(《</w:t>
            </w:r>
            <w:r>
              <w:rPr>
                <w:rFonts w:hint="default" w:ascii="宋体" w:hAnsi="宋体" w:eastAsia="宋体" w:cs="宋体"/>
                <w:color w:val="auto"/>
                <w:sz w:val="20"/>
                <w:szCs w:val="20"/>
                <w:shd w:val="clear" w:color="auto" w:fill="auto"/>
                <w:lang w:eastAsia="zh-CN"/>
              </w:rPr>
              <w:t>基本准则</w:t>
            </w:r>
            <w:r>
              <w:rPr>
                <w:rFonts w:hint="default" w:ascii="宋体" w:hAnsi="宋体" w:eastAsia="宋体" w:cs="宋体"/>
                <w:color w:val="auto"/>
                <w:sz w:val="20"/>
                <w:szCs w:val="20"/>
                <w:shd w:val="clear" w:color="auto" w:fill="auto"/>
                <w:lang w:val="en-US" w:eastAsia="zh-CN"/>
              </w:rPr>
              <w:t>》)</w:t>
            </w:r>
            <w:r>
              <w:rPr>
                <w:rFonts w:ascii="宋体" w:hAnsi="宋体" w:eastAsia="宋体" w:cs="宋体"/>
                <w:color w:val="auto"/>
                <w:sz w:val="20"/>
                <w:szCs w:val="20"/>
                <w:shd w:val="clear" w:color="auto" w:fill="auto"/>
                <w:lang w:eastAsia="zh-CN"/>
              </w:rPr>
              <w:t>、具体</w:t>
            </w:r>
            <w:r>
              <w:rPr>
                <w:rFonts w:hint="default" w:ascii="宋体" w:hAnsi="宋体" w:eastAsia="宋体" w:cs="宋体"/>
                <w:color w:val="auto"/>
                <w:sz w:val="20"/>
                <w:szCs w:val="20"/>
                <w:shd w:val="clear" w:color="auto" w:fill="auto"/>
                <w:lang w:eastAsia="zh-CN"/>
              </w:rPr>
              <w:t>准则</w:t>
            </w:r>
            <w:r>
              <w:rPr>
                <w:rFonts w:ascii="宋体" w:hAnsi="宋体" w:eastAsia="宋体" w:cs="宋体"/>
                <w:color w:val="auto"/>
                <w:sz w:val="20"/>
                <w:szCs w:val="20"/>
                <w:shd w:val="clear" w:color="auto" w:fill="auto"/>
                <w:lang w:eastAsia="zh-CN"/>
              </w:rPr>
              <w:t>和应用指南组成。</w:t>
            </w:r>
            <w:r>
              <w:rPr>
                <w:rFonts w:ascii="宋体" w:hAnsi="宋体" w:eastAsia="宋体" w:cs="宋体"/>
                <w:color w:val="auto"/>
                <w:sz w:val="20"/>
                <w:szCs w:val="20"/>
                <w:shd w:val="clear" w:color="auto" w:fill="auto"/>
                <w:lang w:eastAsia="zh-CN"/>
              </w:rPr>
              <w:br w:type="textWrapping"/>
            </w:r>
          </w:p>
          <w:p>
            <w:pPr>
              <w:keepNext w:val="0"/>
              <w:keepLines w:val="0"/>
              <w:widowControl/>
              <w:suppressLineNumbers w:val="0"/>
              <w:shd w:val="clear" w:color="auto" w:fill="auto"/>
              <w:spacing w:after="0" w:line="240" w:lineRule="auto"/>
              <w:ind w:left="-4" w:right="-90"/>
              <w:jc w:val="both"/>
              <w:rPr>
                <w:rFonts w:ascii="宋体" w:hAnsi="宋体" w:eastAsia="宋体" w:cs="宋体"/>
                <w:color w:val="auto"/>
                <w:sz w:val="20"/>
                <w:szCs w:val="20"/>
                <w:shd w:val="clear" w:color="auto" w:fill="auto"/>
                <w:lang w:eastAsia="zh-CN"/>
              </w:rPr>
            </w:pPr>
            <w:r>
              <w:rPr>
                <w:rFonts w:ascii="宋体" w:hAnsi="宋体" w:eastAsia="宋体" w:cs="宋体"/>
                <w:color w:val="auto"/>
                <w:sz w:val="20"/>
                <w:szCs w:val="20"/>
                <w:shd w:val="clear" w:color="auto" w:fill="auto"/>
                <w:lang w:eastAsia="zh-CN"/>
              </w:rPr>
              <w:t>2024年11月，财政部</w:t>
            </w:r>
            <w:r>
              <w:rPr>
                <w:rFonts w:hint="default" w:ascii="宋体" w:hAnsi="宋体" w:eastAsia="宋体" w:cs="宋体"/>
                <w:color w:val="auto"/>
                <w:sz w:val="20"/>
                <w:szCs w:val="20"/>
                <w:shd w:val="clear" w:color="auto" w:fill="auto"/>
                <w:lang w:eastAsia="zh-CN"/>
              </w:rPr>
              <w:t>会</w:t>
            </w:r>
            <w:r>
              <w:rPr>
                <w:rFonts w:hint="eastAsia" w:ascii="宋体" w:hAnsi="宋体" w:cs="宋体"/>
                <w:color w:val="auto"/>
                <w:sz w:val="20"/>
                <w:szCs w:val="20"/>
                <w:shd w:val="clear" w:color="auto" w:fill="auto"/>
                <w:lang w:eastAsia="zh-CN"/>
              </w:rPr>
              <w:t>等</w:t>
            </w:r>
            <w:r>
              <w:rPr>
                <w:rFonts w:hint="eastAsia" w:ascii="宋体" w:hAnsi="宋体" w:cs="宋体"/>
                <w:color w:val="auto"/>
                <w:sz w:val="20"/>
                <w:szCs w:val="20"/>
                <w:shd w:val="clear" w:color="auto" w:fill="auto"/>
                <w:lang w:val="en-US" w:eastAsia="zh-CN"/>
              </w:rPr>
              <w:t>9</w:t>
            </w:r>
            <w:r>
              <w:rPr>
                <w:rFonts w:ascii="宋体" w:hAnsi="宋体" w:eastAsia="宋体" w:cs="宋体"/>
                <w:color w:val="auto"/>
                <w:sz w:val="20"/>
                <w:szCs w:val="20"/>
                <w:shd w:val="clear" w:color="auto" w:fill="auto"/>
                <w:lang w:eastAsia="zh-CN"/>
              </w:rPr>
              <w:t>部委联合</w:t>
            </w:r>
            <w:r>
              <w:rPr>
                <w:rFonts w:hint="default" w:ascii="宋体" w:hAnsi="宋体" w:eastAsia="宋体" w:cs="宋体"/>
                <w:color w:val="auto"/>
                <w:sz w:val="20"/>
                <w:szCs w:val="20"/>
                <w:shd w:val="clear" w:color="auto" w:fill="auto"/>
                <w:lang w:eastAsia="zh-CN"/>
              </w:rPr>
              <w:t>印发</w:t>
            </w:r>
            <w:r>
              <w:rPr>
                <w:rFonts w:ascii="宋体" w:hAnsi="宋体" w:eastAsia="宋体" w:cs="宋体"/>
                <w:color w:val="auto"/>
                <w:sz w:val="20"/>
                <w:szCs w:val="20"/>
                <w:shd w:val="clear" w:color="auto" w:fill="auto"/>
                <w:lang w:eastAsia="zh-CN"/>
              </w:rPr>
              <w:t>了</w:t>
            </w:r>
            <w:r>
              <w:rPr>
                <w:rFonts w:hint="default" w:ascii="宋体" w:hAnsi="宋体" w:eastAsia="宋体" w:cs="宋体"/>
                <w:color w:val="auto"/>
                <w:sz w:val="20"/>
                <w:szCs w:val="20"/>
                <w:shd w:val="clear" w:color="auto" w:fill="auto"/>
                <w:lang w:eastAsia="zh-CN"/>
              </w:rPr>
              <w:t>《</w:t>
            </w:r>
            <w:r>
              <w:rPr>
                <w:rFonts w:ascii="宋体" w:hAnsi="宋体" w:eastAsia="宋体" w:cs="宋体"/>
                <w:color w:val="auto"/>
                <w:sz w:val="20"/>
                <w:szCs w:val="20"/>
                <w:shd w:val="clear" w:color="auto" w:fill="auto"/>
                <w:lang w:eastAsia="zh-CN"/>
              </w:rPr>
              <w:t>基本</w:t>
            </w:r>
            <w:r>
              <w:rPr>
                <w:rFonts w:hint="default" w:ascii="宋体" w:hAnsi="宋体" w:eastAsia="宋体" w:cs="宋体"/>
                <w:color w:val="auto"/>
                <w:sz w:val="20"/>
                <w:szCs w:val="20"/>
                <w:shd w:val="clear" w:color="auto" w:fill="auto"/>
                <w:lang w:val="en-US" w:eastAsia="zh-CN"/>
              </w:rPr>
              <w:t>准则</w:t>
            </w:r>
            <w:r>
              <w:rPr>
                <w:rFonts w:hint="default" w:ascii="宋体" w:hAnsi="宋体" w:eastAsia="宋体" w:cs="宋体"/>
                <w:color w:val="auto"/>
                <w:sz w:val="20"/>
                <w:szCs w:val="20"/>
                <w:shd w:val="clear" w:color="auto" w:fill="auto"/>
                <w:lang w:eastAsia="zh-CN"/>
              </w:rPr>
              <w:t>》</w:t>
            </w:r>
            <w:r>
              <w:rPr>
                <w:rFonts w:ascii="宋体" w:hAnsi="宋体" w:eastAsia="宋体" w:cs="宋体"/>
                <w:color w:val="auto"/>
                <w:sz w:val="20"/>
                <w:szCs w:val="20"/>
                <w:shd w:val="clear" w:color="auto" w:fill="auto"/>
                <w:lang w:eastAsia="zh-CN"/>
              </w:rPr>
              <w:t>，</w:t>
            </w:r>
            <w:r>
              <w:rPr>
                <w:rFonts w:hint="default" w:ascii="宋体" w:hAnsi="宋体" w:eastAsia="宋体" w:cs="宋体"/>
                <w:color w:val="auto"/>
                <w:sz w:val="20"/>
                <w:szCs w:val="20"/>
                <w:shd w:val="clear" w:color="auto" w:fill="auto"/>
                <w:lang w:eastAsia="zh-CN"/>
              </w:rPr>
              <w:t>对企业可持续发展信息披露提出总体要求</w:t>
            </w:r>
            <w:r>
              <w:rPr>
                <w:rFonts w:hint="default" w:ascii="宋体" w:hAnsi="宋体" w:eastAsia="宋体" w:cs="宋体"/>
                <w:i w:val="0"/>
                <w:iCs w:val="0"/>
                <w:caps w:val="0"/>
                <w:color w:val="auto"/>
                <w:spacing w:val="0"/>
                <w:kern w:val="2"/>
                <w:sz w:val="20"/>
                <w:szCs w:val="20"/>
                <w:shd w:val="clear" w:color="auto" w:fill="auto"/>
                <w:lang w:val="en-US" w:eastAsia="zh-CN" w:bidi="ar"/>
              </w:rPr>
              <w:t>。该基本准则为国家披露准则的制定奠定了基础，旨在确保其与应用ISSB准则达成功能性一致的结果。</w:t>
            </w:r>
          </w:p>
          <w:p>
            <w:pPr>
              <w:shd w:val="clear" w:color="auto" w:fill="auto"/>
              <w:spacing w:after="0" w:line="240" w:lineRule="auto"/>
              <w:ind w:left="-4" w:right="-90"/>
              <w:jc w:val="both"/>
              <w:rPr>
                <w:rFonts w:ascii="宋体" w:hAnsi="宋体" w:eastAsia="宋体" w:cs="宋体"/>
                <w:color w:val="auto"/>
                <w:sz w:val="20"/>
                <w:szCs w:val="20"/>
                <w:shd w:val="clear" w:color="auto" w:fill="auto"/>
                <w:lang w:eastAsia="zh-CN"/>
              </w:rPr>
            </w:pPr>
          </w:p>
          <w:p>
            <w:pPr>
              <w:shd w:val="clear" w:color="auto" w:fill="auto"/>
              <w:spacing w:after="0" w:line="240" w:lineRule="auto"/>
              <w:ind w:left="-4" w:right="-90"/>
              <w:jc w:val="both"/>
              <w:rPr>
                <w:rFonts w:hint="default" w:ascii="宋体" w:hAnsi="宋体" w:eastAsia="宋体" w:cs="宋体"/>
                <w:color w:val="auto"/>
                <w:sz w:val="20"/>
                <w:szCs w:val="20"/>
                <w:shd w:val="clear" w:color="auto" w:fill="auto"/>
                <w:lang w:eastAsia="zh-CN"/>
              </w:rPr>
            </w:pPr>
            <w:r>
              <w:rPr>
                <w:rFonts w:hint="default" w:ascii="宋体" w:hAnsi="宋体" w:eastAsia="宋体" w:cs="宋体"/>
                <w:color w:val="auto"/>
                <w:sz w:val="20"/>
                <w:szCs w:val="20"/>
                <w:shd w:val="clear" w:color="auto" w:fill="auto"/>
                <w:lang w:eastAsia="zh-CN"/>
              </w:rPr>
              <w:t>2025年4月，财政部会同生态环境部印发《企业可持续披露准则第1号——气候（试行）（征求意见稿）》。</w:t>
            </w:r>
          </w:p>
          <w:p>
            <w:pPr>
              <w:shd w:val="clear" w:color="auto" w:fill="auto"/>
              <w:spacing w:after="0" w:line="240" w:lineRule="auto"/>
              <w:ind w:left="-4" w:right="-90"/>
              <w:jc w:val="both"/>
              <w:rPr>
                <w:rFonts w:ascii="宋体" w:hAnsi="宋体" w:eastAsia="宋体" w:cs="宋体"/>
                <w:color w:val="auto"/>
                <w:sz w:val="20"/>
                <w:szCs w:val="20"/>
                <w:shd w:val="clear" w:color="auto" w:fill="auto"/>
                <w:lang w:eastAsia="zh-CN"/>
              </w:rPr>
            </w:pPr>
          </w:p>
          <w:p>
            <w:pPr>
              <w:shd w:val="clear" w:color="auto" w:fill="auto"/>
              <w:spacing w:after="0" w:line="240" w:lineRule="auto"/>
              <w:ind w:left="-4" w:right="-90"/>
              <w:jc w:val="both"/>
              <w:rPr>
                <w:rFonts w:ascii="宋体" w:hAnsi="宋体" w:eastAsia="宋体" w:cs="宋体"/>
                <w:color w:val="auto"/>
                <w:sz w:val="20"/>
                <w:szCs w:val="20"/>
                <w:shd w:val="clear" w:color="auto" w:fill="auto"/>
                <w:lang w:eastAsia="zh-CN"/>
              </w:rPr>
            </w:pPr>
            <w:r>
              <w:rPr>
                <w:rFonts w:hint="default" w:ascii="宋体" w:hAnsi="宋体" w:eastAsia="宋体" w:cs="宋体"/>
                <w:color w:val="auto"/>
                <w:sz w:val="20"/>
                <w:szCs w:val="20"/>
                <w:shd w:val="clear" w:color="auto" w:fill="auto"/>
                <w:lang w:eastAsia="zh-CN"/>
              </w:rPr>
              <w:t>财政部拟根据利益相关方意见反馈完成气候相关披露准则的定稿工作。财政部计划到2027年</w:t>
            </w:r>
            <w:r>
              <w:rPr>
                <w:rFonts w:hint="eastAsia" w:ascii="宋体" w:hAnsi="宋体" w:cs="宋体"/>
                <w:color w:val="auto"/>
                <w:sz w:val="20"/>
                <w:szCs w:val="20"/>
                <w:shd w:val="clear" w:color="auto" w:fill="auto"/>
                <w:lang w:eastAsia="zh-CN"/>
              </w:rPr>
              <w:t>，企业可持续披露</w:t>
            </w:r>
            <w:r>
              <w:rPr>
                <w:rFonts w:hint="default" w:ascii="宋体" w:hAnsi="宋体" w:eastAsia="宋体" w:cs="宋体"/>
                <w:color w:val="auto"/>
                <w:sz w:val="20"/>
                <w:szCs w:val="20"/>
                <w:shd w:val="clear" w:color="auto" w:fill="auto"/>
                <w:lang w:eastAsia="zh-CN"/>
              </w:rPr>
              <w:t>基本准则、气候相关披露准则及应用指南相继出</w:t>
            </w:r>
            <w:r>
              <w:rPr>
                <w:rFonts w:hint="eastAsia" w:ascii="宋体" w:hAnsi="宋体" w:cs="宋体"/>
                <w:color w:val="auto"/>
                <w:sz w:val="20"/>
                <w:szCs w:val="20"/>
                <w:shd w:val="clear" w:color="auto" w:fill="auto"/>
                <w:lang w:eastAsia="zh-CN"/>
              </w:rPr>
              <w:t>台</w:t>
            </w:r>
            <w:r>
              <w:rPr>
                <w:rFonts w:hint="default" w:ascii="宋体" w:hAnsi="宋体" w:eastAsia="宋体" w:cs="宋体"/>
                <w:color w:val="auto"/>
                <w:sz w:val="20"/>
                <w:szCs w:val="20"/>
                <w:shd w:val="clear" w:color="auto" w:fill="auto"/>
                <w:lang w:eastAsia="zh-CN"/>
              </w:rPr>
              <w:t>；到2030年</w:t>
            </w:r>
            <w:r>
              <w:rPr>
                <w:rFonts w:hint="eastAsia" w:ascii="宋体" w:hAnsi="宋体" w:cs="宋体"/>
                <w:color w:val="auto"/>
                <w:sz w:val="20"/>
                <w:szCs w:val="20"/>
                <w:shd w:val="clear" w:color="auto" w:fill="auto"/>
                <w:lang w:val="en-US" w:eastAsia="zh-CN"/>
              </w:rPr>
              <w:t>，</w:t>
            </w:r>
            <w:r>
              <w:rPr>
                <w:rFonts w:hint="default" w:ascii="宋体" w:hAnsi="宋体" w:eastAsia="宋体" w:cs="宋体"/>
                <w:color w:val="auto"/>
                <w:sz w:val="20"/>
                <w:szCs w:val="20"/>
                <w:shd w:val="clear" w:color="auto" w:fill="auto"/>
                <w:lang w:eastAsia="zh-CN"/>
              </w:rPr>
              <w:t>建成国家统一的可持续披露准则体系</w:t>
            </w:r>
            <w:r>
              <w:rPr>
                <w:rFonts w:ascii="宋体" w:hAnsi="宋体" w:eastAsia="宋体" w:cs="宋体"/>
                <w:color w:val="auto"/>
                <w:sz w:val="20"/>
                <w:szCs w:val="20"/>
                <w:shd w:val="clear" w:color="auto" w:fill="auto"/>
                <w:lang w:eastAsia="zh-CN"/>
              </w:rPr>
              <w:t>。</w:t>
            </w:r>
          </w:p>
          <w:p>
            <w:pPr>
              <w:shd w:val="clear" w:color="auto" w:fill="auto"/>
              <w:spacing w:after="0" w:line="240" w:lineRule="auto"/>
              <w:ind w:left="-4" w:right="-90"/>
              <w:jc w:val="both"/>
              <w:rPr>
                <w:rFonts w:ascii="宋体" w:hAnsi="宋体" w:eastAsia="宋体" w:cs="宋体"/>
                <w:color w:val="auto"/>
                <w:sz w:val="20"/>
                <w:szCs w:val="20"/>
                <w:shd w:val="clear" w:color="auto" w:fill="auto"/>
                <w:lang w:eastAsia="zh-CN"/>
              </w:rPr>
            </w:pPr>
          </w:p>
          <w:p>
            <w:pPr>
              <w:shd w:val="clear" w:color="auto" w:fill="auto"/>
              <w:spacing w:after="0" w:line="240" w:lineRule="auto"/>
              <w:ind w:left="-4" w:right="-90"/>
              <w:jc w:val="both"/>
              <w:rPr>
                <w:rFonts w:hint="default" w:ascii="宋体" w:hAnsi="宋体" w:eastAsia="宋体" w:cs="宋体"/>
                <w:color w:val="auto"/>
                <w:sz w:val="20"/>
                <w:szCs w:val="20"/>
                <w:shd w:val="clear" w:color="auto" w:fill="auto"/>
                <w:lang w:eastAsia="zh-CN"/>
              </w:rPr>
            </w:pPr>
            <w:r>
              <w:rPr>
                <w:rFonts w:hint="default" w:ascii="宋体" w:hAnsi="宋体" w:eastAsia="宋体" w:cs="宋体"/>
                <w:color w:val="auto"/>
                <w:sz w:val="20"/>
                <w:szCs w:val="20"/>
                <w:shd w:val="clear" w:color="auto" w:fill="auto"/>
                <w:lang w:eastAsia="zh-CN"/>
              </w:rPr>
              <w:t>鉴于准则体系建设周期较长，可由相关部门根据实际需要先行制定针对特定行业或领域的披露指引、监管制度等，未来逐步调整完善。。</w:t>
            </w:r>
          </w:p>
          <w:p>
            <w:pPr>
              <w:shd w:val="clear" w:color="auto" w:fill="auto"/>
              <w:spacing w:after="0" w:line="240" w:lineRule="auto"/>
              <w:ind w:left="-4" w:right="-90"/>
              <w:jc w:val="both"/>
              <w:rPr>
                <w:rFonts w:ascii="宋体" w:hAnsi="宋体" w:eastAsia="宋体" w:cs="宋体"/>
                <w:color w:val="auto"/>
                <w:sz w:val="20"/>
                <w:szCs w:val="20"/>
                <w:shd w:val="clear" w:color="auto" w:fill="auto"/>
                <w:lang w:eastAsia="zh-CN"/>
              </w:rPr>
            </w:pPr>
          </w:p>
          <w:p>
            <w:pPr>
              <w:shd w:val="clear" w:color="auto" w:fill="auto"/>
              <w:spacing w:after="0" w:line="240" w:lineRule="auto"/>
              <w:ind w:left="-4" w:right="-90"/>
              <w:jc w:val="both"/>
              <w:rPr>
                <w:rFonts w:ascii="宋体" w:hAnsi="宋体" w:eastAsia="宋体" w:cs="宋体"/>
                <w:color w:val="auto"/>
                <w:sz w:val="20"/>
                <w:szCs w:val="20"/>
                <w:shd w:val="clear" w:color="auto" w:fill="auto"/>
                <w:lang w:eastAsia="zh-CN"/>
              </w:rPr>
            </w:pPr>
            <w:r>
              <w:rPr>
                <w:rFonts w:hint="default" w:ascii="宋体" w:hAnsi="宋体" w:eastAsia="宋体" w:cs="宋体"/>
                <w:color w:val="auto"/>
                <w:sz w:val="20"/>
                <w:szCs w:val="20"/>
                <w:shd w:val="clear" w:color="auto" w:fill="auto"/>
                <w:lang w:eastAsia="zh-CN"/>
              </w:rPr>
              <w:t>各</w:t>
            </w:r>
            <w:r>
              <w:rPr>
                <w:rFonts w:ascii="宋体" w:hAnsi="宋体" w:eastAsia="宋体" w:cs="宋体"/>
                <w:color w:val="auto"/>
                <w:sz w:val="20"/>
                <w:szCs w:val="20"/>
                <w:shd w:val="clear" w:color="auto" w:fill="auto"/>
                <w:lang w:eastAsia="zh-CN"/>
              </w:rPr>
              <w:t>证券交易所已经发布了可持续</w:t>
            </w:r>
            <w:r>
              <w:rPr>
                <w:rFonts w:hint="default" w:ascii="宋体" w:hAnsi="宋体" w:eastAsia="宋体" w:cs="宋体"/>
                <w:color w:val="auto"/>
                <w:sz w:val="20"/>
                <w:szCs w:val="20"/>
                <w:shd w:val="clear" w:color="auto" w:fill="auto"/>
                <w:lang w:eastAsia="zh-CN"/>
              </w:rPr>
              <w:t>披露</w:t>
            </w:r>
            <w:r>
              <w:rPr>
                <w:rFonts w:ascii="宋体" w:hAnsi="宋体" w:eastAsia="宋体" w:cs="宋体"/>
                <w:color w:val="auto"/>
                <w:sz w:val="20"/>
                <w:szCs w:val="20"/>
                <w:shd w:val="clear" w:color="auto" w:fill="auto"/>
                <w:lang w:eastAsia="zh-CN"/>
              </w:rPr>
              <w:t>相关的</w:t>
            </w:r>
            <w:r>
              <w:rPr>
                <w:rFonts w:hint="default" w:ascii="宋体" w:hAnsi="宋体" w:eastAsia="宋体" w:cs="宋体"/>
                <w:color w:val="auto"/>
                <w:sz w:val="20"/>
                <w:szCs w:val="20"/>
                <w:shd w:val="clear" w:color="auto" w:fill="auto"/>
                <w:lang w:eastAsia="zh-CN"/>
              </w:rPr>
              <w:t>指南。</w:t>
            </w:r>
          </w:p>
          <w:p>
            <w:pPr>
              <w:shd w:val="clear" w:color="auto" w:fill="auto"/>
              <w:spacing w:after="0" w:line="240" w:lineRule="auto"/>
              <w:ind w:left="-4" w:right="-90"/>
              <w:jc w:val="both"/>
              <w:rPr>
                <w:rFonts w:ascii="宋体" w:hAnsi="宋体" w:eastAsia="宋体" w:cs="宋体"/>
                <w:color w:val="auto"/>
                <w:sz w:val="20"/>
                <w:szCs w:val="20"/>
                <w:shd w:val="clear" w:color="auto" w:fill="auto"/>
                <w:lang w:eastAsia="zh-CN"/>
              </w:rPr>
            </w:pPr>
          </w:p>
          <w:p>
            <w:pPr>
              <w:shd w:val="clear" w:color="auto" w:fill="auto"/>
              <w:spacing w:after="0" w:line="240" w:lineRule="auto"/>
              <w:ind w:left="-4" w:right="-90"/>
              <w:jc w:val="both"/>
              <w:rPr>
                <w:rFonts w:ascii="Arial" w:hAnsi="Arial" w:eastAsia="Arial" w:cs="Arial"/>
                <w:color w:val="auto"/>
                <w:sz w:val="20"/>
                <w:szCs w:val="20"/>
                <w:shd w:val="clear" w:color="auto" w:fill="auto"/>
              </w:rPr>
            </w:pPr>
            <w:r>
              <w:rPr>
                <w:rFonts w:ascii="宋体" w:hAnsi="宋体" w:eastAsia="宋体" w:cs="宋体"/>
                <w:color w:val="auto"/>
                <w:sz w:val="20"/>
                <w:szCs w:val="20"/>
                <w:shd w:val="clear" w:color="auto" w:fill="auto"/>
                <w:lang w:eastAsia="zh-CN"/>
              </w:rPr>
              <w:t>此</w:t>
            </w:r>
            <w:r>
              <w:rPr>
                <w:rFonts w:hint="default" w:ascii="宋体" w:hAnsi="宋体" w:eastAsia="宋体" w:cs="宋体"/>
                <w:color w:val="auto"/>
                <w:sz w:val="20"/>
                <w:szCs w:val="20"/>
                <w:shd w:val="clear" w:color="auto" w:fill="auto"/>
                <w:lang w:eastAsia="zh-CN"/>
              </w:rPr>
              <w:t>概览</w:t>
            </w:r>
            <w:r>
              <w:rPr>
                <w:rFonts w:ascii="宋体" w:hAnsi="宋体" w:eastAsia="宋体" w:cs="宋体"/>
                <w:color w:val="auto"/>
                <w:sz w:val="20"/>
                <w:szCs w:val="20"/>
                <w:shd w:val="clear" w:color="auto" w:fill="auto"/>
                <w:lang w:eastAsia="zh-CN"/>
              </w:rPr>
              <w:t>仅总结了基本</w:t>
            </w:r>
            <w:r>
              <w:rPr>
                <w:rFonts w:hint="default" w:ascii="宋体" w:hAnsi="宋体" w:eastAsia="宋体" w:cs="宋体"/>
                <w:color w:val="auto"/>
                <w:sz w:val="20"/>
                <w:szCs w:val="20"/>
                <w:shd w:val="clear" w:color="auto" w:fill="auto"/>
                <w:lang w:val="en-US" w:eastAsia="zh-CN"/>
              </w:rPr>
              <w:t>准则</w:t>
            </w:r>
            <w:r>
              <w:rPr>
                <w:rFonts w:ascii="宋体" w:hAnsi="宋体" w:eastAsia="宋体" w:cs="宋体"/>
                <w:color w:val="auto"/>
                <w:sz w:val="20"/>
                <w:szCs w:val="20"/>
                <w:shd w:val="clear" w:color="auto" w:fill="auto"/>
                <w:lang w:eastAsia="zh-CN"/>
              </w:rPr>
              <w:t>。</w:t>
            </w:r>
          </w:p>
        </w:tc>
      </w:tr>
      <w:tr>
        <w:tblPrEx>
          <w:tblBorders>
            <w:top w:val="single" w:color="AEAFB0" w:sz="4" w:space="0"/>
            <w:left w:val="none" w:color="auto" w:sz="0" w:space="0"/>
            <w:bottom w:val="single" w:color="AEAFB0" w:sz="4" w:space="0"/>
            <w:right w:val="none" w:color="auto" w:sz="0" w:space="0"/>
            <w:insideH w:val="none" w:color="auto" w:sz="0" w:space="0"/>
            <w:insideV w:val="none" w:color="auto" w:sz="0" w:space="0"/>
          </w:tblBorders>
          <w:tblCellMar>
            <w:top w:w="101" w:type="dxa"/>
            <w:left w:w="144" w:type="dxa"/>
            <w:bottom w:w="58" w:type="dxa"/>
            <w:right w:w="288" w:type="dxa"/>
          </w:tblCellMar>
        </w:tblPrEx>
        <w:trPr>
          <w:trHeight w:val="1928" w:hRule="atLeast"/>
        </w:trPr>
        <w:tc>
          <w:tcPr>
            <w:tcW w:w="3350" w:type="dxa"/>
            <w:shd w:val="clear" w:color="auto" w:fill="CEEBF8"/>
            <w:noWrap w:val="0"/>
            <w:vAlign w:val="top"/>
          </w:tcPr>
          <w:p>
            <w:pPr>
              <w:spacing w:after="0" w:line="240" w:lineRule="auto"/>
              <w:ind w:left="-4" w:right="-90"/>
              <w:jc w:val="right"/>
              <w:rPr>
                <w:rFonts w:ascii="Arial" w:hAnsi="Arial" w:cs="Arial"/>
                <w:b/>
                <w:bCs/>
                <w:sz w:val="20"/>
                <w:szCs w:val="20"/>
              </w:rPr>
            </w:pPr>
            <w:r>
              <w:rPr>
                <w:rFonts w:hint="eastAsia" w:ascii="Arial" w:hAnsi="Arial" w:cs="Arial"/>
                <w:b/>
                <w:bCs/>
                <w:sz w:val="20"/>
                <w:szCs w:val="20"/>
              </w:rPr>
              <w:t>相关</w:t>
            </w:r>
            <w:r>
              <w:rPr>
                <w:rFonts w:hint="eastAsia" w:ascii="Arial" w:hAnsi="Arial" w:cs="Arial"/>
                <w:b/>
                <w:bCs/>
                <w:sz w:val="20"/>
                <w:szCs w:val="20"/>
                <w:lang w:eastAsia="zh-CN"/>
              </w:rPr>
              <w:t>主管部门</w:t>
            </w:r>
          </w:p>
        </w:tc>
        <w:tc>
          <w:tcPr>
            <w:tcW w:w="6910" w:type="dxa"/>
            <w:gridSpan w:val="3"/>
            <w:noWrap w:val="0"/>
            <w:vAlign w:val="top"/>
          </w:tcPr>
          <w:p>
            <w:pPr>
              <w:spacing w:after="0" w:line="240" w:lineRule="auto"/>
              <w:ind w:left="-4" w:right="-90"/>
              <w:jc w:val="both"/>
              <w:rPr>
                <w:rFonts w:ascii="宋体" w:hAnsi="宋体" w:eastAsia="宋体" w:cs="宋体"/>
                <w:color w:val="auto"/>
                <w:sz w:val="20"/>
                <w:szCs w:val="20"/>
                <w:shd w:val="clear" w:color="auto" w:fill="auto"/>
              </w:rPr>
            </w:pPr>
            <w:r>
              <w:rPr>
                <w:rFonts w:ascii="宋体" w:hAnsi="宋体" w:eastAsia="宋体" w:cs="宋体"/>
                <w:color w:val="auto"/>
                <w:sz w:val="20"/>
                <w:szCs w:val="20"/>
                <w:shd w:val="clear" w:color="auto" w:fill="auto"/>
              </w:rPr>
              <w:t>牵头</w:t>
            </w:r>
            <w:r>
              <w:rPr>
                <w:rFonts w:hint="default" w:ascii="宋体" w:hAnsi="宋体" w:eastAsia="宋体" w:cs="宋体"/>
                <w:color w:val="auto"/>
                <w:sz w:val="20"/>
                <w:szCs w:val="20"/>
                <w:shd w:val="clear" w:color="auto" w:fill="auto"/>
                <w:lang w:val="en-US" w:eastAsia="zh-CN"/>
              </w:rPr>
              <w:t>机构</w:t>
            </w:r>
            <w:r>
              <w:rPr>
                <w:rFonts w:ascii="宋体" w:hAnsi="宋体" w:eastAsia="宋体" w:cs="宋体"/>
                <w:color w:val="auto"/>
                <w:sz w:val="20"/>
                <w:szCs w:val="20"/>
                <w:shd w:val="clear" w:color="auto" w:fill="auto"/>
              </w:rPr>
              <w:t>：中华人民共和国财政部</w:t>
            </w:r>
          </w:p>
          <w:p>
            <w:pPr>
              <w:spacing w:after="0" w:line="240" w:lineRule="auto"/>
              <w:ind w:left="-4" w:right="-90"/>
              <w:jc w:val="both"/>
              <w:rPr>
                <w:rFonts w:ascii="宋体" w:hAnsi="宋体" w:eastAsia="宋体" w:cs="宋体"/>
                <w:color w:val="auto"/>
                <w:sz w:val="20"/>
                <w:szCs w:val="20"/>
                <w:shd w:val="clear" w:color="auto" w:fill="auto"/>
              </w:rPr>
            </w:pPr>
          </w:p>
          <w:p>
            <w:pPr>
              <w:spacing w:after="0" w:line="240" w:lineRule="auto"/>
              <w:ind w:left="-4" w:right="-90"/>
              <w:jc w:val="both"/>
              <w:rPr>
                <w:rFonts w:ascii="宋体" w:hAnsi="宋体" w:eastAsia="宋体" w:cs="宋体"/>
                <w:color w:val="auto"/>
                <w:sz w:val="20"/>
                <w:szCs w:val="20"/>
                <w:shd w:val="clear" w:color="auto" w:fill="auto"/>
              </w:rPr>
            </w:pPr>
            <w:r>
              <w:rPr>
                <w:rFonts w:hint="default" w:ascii="宋体" w:hAnsi="宋体" w:eastAsia="宋体" w:cs="宋体"/>
                <w:color w:val="auto"/>
                <w:sz w:val="20"/>
                <w:szCs w:val="20"/>
                <w:shd w:val="clear" w:color="auto" w:fill="auto"/>
                <w:lang w:val="en-US" w:eastAsia="zh-CN"/>
              </w:rPr>
              <w:t>其他监管机构</w:t>
            </w:r>
            <w:r>
              <w:rPr>
                <w:rFonts w:ascii="宋体" w:hAnsi="宋体" w:eastAsia="宋体" w:cs="宋体"/>
                <w:color w:val="auto"/>
                <w:sz w:val="20"/>
                <w:szCs w:val="20"/>
                <w:shd w:val="clear" w:color="auto" w:fill="auto"/>
              </w:rPr>
              <w:t>：</w:t>
            </w:r>
          </w:p>
          <w:p>
            <w:pPr>
              <w:spacing w:after="0" w:line="240" w:lineRule="auto"/>
              <w:ind w:left="-4" w:right="-90"/>
              <w:jc w:val="both"/>
              <w:rPr>
                <w:rFonts w:ascii="Arial" w:hAnsi="Arial" w:eastAsia="Arial" w:cs="Arial"/>
                <w:color w:val="auto"/>
                <w:sz w:val="20"/>
                <w:szCs w:val="20"/>
                <w:shd w:val="clear" w:color="auto" w:fill="auto"/>
              </w:rPr>
            </w:pPr>
            <w:r>
              <w:rPr>
                <w:rFonts w:hint="default" w:ascii="宋体" w:hAnsi="宋体" w:eastAsia="宋体" w:cs="宋体"/>
                <w:color w:val="auto"/>
                <w:sz w:val="20"/>
                <w:szCs w:val="20"/>
                <w:shd w:val="clear" w:color="auto" w:fill="auto"/>
              </w:rPr>
              <w:t>外交部、国家发展改革委、工业和信息化部、生态环境部、商务部、中国人民银行、国务院国资委、金融监管总局、中国证监会</w:t>
            </w:r>
          </w:p>
        </w:tc>
      </w:tr>
      <w:tr>
        <w:tblPrEx>
          <w:tblBorders>
            <w:top w:val="single" w:color="AEAFB0" w:sz="4" w:space="0"/>
            <w:left w:val="none" w:color="auto" w:sz="0" w:space="0"/>
            <w:bottom w:val="single" w:color="AEAFB0" w:sz="4" w:space="0"/>
            <w:right w:val="none" w:color="auto" w:sz="0" w:space="0"/>
            <w:insideH w:val="none" w:color="auto" w:sz="0" w:space="0"/>
            <w:insideV w:val="none" w:color="auto" w:sz="0" w:space="0"/>
          </w:tblBorders>
          <w:tblCellMar>
            <w:top w:w="101" w:type="dxa"/>
            <w:left w:w="144" w:type="dxa"/>
            <w:bottom w:w="58" w:type="dxa"/>
            <w:right w:w="288" w:type="dxa"/>
          </w:tblCellMar>
        </w:tblPrEx>
        <w:trPr>
          <w:trHeight w:val="522" w:hRule="atLeast"/>
        </w:trPr>
        <w:tc>
          <w:tcPr>
            <w:tcW w:w="10260" w:type="dxa"/>
            <w:gridSpan w:val="4"/>
            <w:tcBorders>
              <w:top w:val="single" w:color="AEAFB0" w:sz="4" w:space="0"/>
              <w:bottom w:val="single" w:color="AEAFB0" w:sz="4" w:space="0"/>
            </w:tcBorders>
            <w:noWrap w:val="0"/>
            <w:vAlign w:val="center"/>
          </w:tcPr>
          <w:p>
            <w:pPr>
              <w:spacing w:after="0" w:line="240" w:lineRule="auto"/>
              <w:ind w:left="-4" w:right="-90"/>
              <w:jc w:val="center"/>
              <w:rPr>
                <w:rFonts w:ascii="Arial" w:hAnsi="Arial" w:cs="Arial"/>
                <w:b/>
                <w:bCs/>
                <w:color w:val="auto"/>
                <w:spacing w:val="-2"/>
                <w:sz w:val="28"/>
                <w:szCs w:val="28"/>
                <w:shd w:val="clear" w:color="auto" w:fill="auto"/>
              </w:rPr>
            </w:pPr>
            <w:r>
              <w:rPr>
                <w:rFonts w:hint="eastAsia" w:ascii="宋体" w:hAnsi="宋体" w:eastAsia="宋体" w:cs="宋体"/>
                <w:b/>
                <w:bCs/>
                <w:color w:val="auto"/>
                <w:spacing w:val="0"/>
                <w:sz w:val="28"/>
                <w:szCs w:val="28"/>
                <w:shd w:val="clear" w:color="auto" w:fill="auto"/>
              </w:rPr>
              <w:t>拟议要求</w:t>
            </w:r>
          </w:p>
        </w:tc>
      </w:tr>
      <w:tr>
        <w:tblPrEx>
          <w:tblBorders>
            <w:top w:val="single" w:color="AEAFB0" w:sz="4" w:space="0"/>
            <w:left w:val="none" w:color="auto" w:sz="0" w:space="0"/>
            <w:bottom w:val="single" w:color="AEAFB0" w:sz="4" w:space="0"/>
            <w:right w:val="none" w:color="auto" w:sz="0" w:space="0"/>
            <w:insideH w:val="none" w:color="auto" w:sz="0" w:space="0"/>
            <w:insideV w:val="none" w:color="auto" w:sz="0" w:space="0"/>
          </w:tblBorders>
          <w:tblCellMar>
            <w:top w:w="101" w:type="dxa"/>
            <w:left w:w="144" w:type="dxa"/>
            <w:bottom w:w="58" w:type="dxa"/>
            <w:right w:w="288" w:type="dxa"/>
          </w:tblCellMar>
        </w:tblPrEx>
        <w:trPr>
          <w:trHeight w:val="964" w:hRule="atLeast"/>
        </w:trPr>
        <w:tc>
          <w:tcPr>
            <w:tcW w:w="3350" w:type="dxa"/>
            <w:shd w:val="clear" w:color="auto" w:fill="CEEBF8"/>
            <w:noWrap w:val="0"/>
            <w:vAlign w:val="top"/>
          </w:tcPr>
          <w:p>
            <w:pPr>
              <w:spacing w:after="0" w:line="240" w:lineRule="auto"/>
              <w:ind w:left="-4" w:right="-90"/>
              <w:jc w:val="right"/>
              <w:rPr>
                <w:rFonts w:ascii="Arial" w:hAnsi="Arial" w:cs="Arial"/>
                <w:b/>
                <w:bCs/>
                <w:sz w:val="20"/>
                <w:szCs w:val="20"/>
              </w:rPr>
            </w:pPr>
            <w:r>
              <w:rPr>
                <w:rFonts w:ascii="宋体" w:hAnsi="宋体" w:eastAsia="宋体" w:cs="宋体"/>
                <w:b/>
                <w:bCs/>
                <w:sz w:val="20"/>
                <w:szCs w:val="20"/>
              </w:rPr>
              <w:t>框架或</w:t>
            </w:r>
            <w:r>
              <w:rPr>
                <w:rFonts w:hint="eastAsia" w:ascii="宋体" w:hAnsi="宋体" w:cs="宋体"/>
                <w:b/>
                <w:bCs/>
                <w:sz w:val="20"/>
                <w:szCs w:val="20"/>
                <w:lang w:val="en-US" w:eastAsia="zh-CN"/>
              </w:rPr>
              <w:t>准则</w:t>
            </w:r>
            <w:r>
              <w:rPr>
                <w:rFonts w:ascii="宋体" w:hAnsi="宋体" w:eastAsia="宋体" w:cs="宋体"/>
                <w:b/>
                <w:bCs/>
                <w:sz w:val="20"/>
                <w:szCs w:val="20"/>
              </w:rPr>
              <w:t>名称</w:t>
            </w:r>
          </w:p>
        </w:tc>
        <w:tc>
          <w:tcPr>
            <w:tcW w:w="6910" w:type="dxa"/>
            <w:gridSpan w:val="3"/>
            <w:noWrap w:val="0"/>
            <w:vAlign w:val="top"/>
          </w:tcPr>
          <w:p>
            <w:pPr>
              <w:spacing w:after="0" w:line="240" w:lineRule="auto"/>
              <w:ind w:right="-90"/>
              <w:jc w:val="both"/>
              <w:rPr>
                <w:rFonts w:hint="eastAsia" w:ascii="宋体" w:hAnsi="宋体" w:cs="宋体"/>
                <w:color w:val="auto"/>
                <w:sz w:val="20"/>
                <w:szCs w:val="20"/>
                <w:shd w:val="clear" w:color="auto" w:fill="auto"/>
                <w:lang w:eastAsia="zh-CN"/>
              </w:rPr>
            </w:pPr>
            <w:r>
              <w:rPr>
                <w:rFonts w:hint="eastAsia" w:ascii="宋体" w:hAnsi="宋体" w:cs="宋体"/>
                <w:color w:val="auto"/>
                <w:sz w:val="20"/>
                <w:szCs w:val="20"/>
                <w:shd w:val="clear" w:color="auto" w:fill="auto"/>
                <w:lang w:eastAsia="zh-CN"/>
              </w:rPr>
              <w:t>《</w:t>
            </w:r>
            <w:r>
              <w:rPr>
                <w:rFonts w:hint="eastAsia" w:ascii="宋体" w:hAnsi="宋体" w:eastAsia="宋体" w:cs="宋体"/>
                <w:color w:val="auto"/>
                <w:sz w:val="20"/>
                <w:szCs w:val="20"/>
                <w:shd w:val="clear" w:color="auto" w:fill="auto"/>
              </w:rPr>
              <w:t>企业可持续披露准则——基本准则（试行）</w:t>
            </w:r>
            <w:r>
              <w:rPr>
                <w:rFonts w:hint="eastAsia" w:ascii="宋体" w:hAnsi="宋体" w:cs="宋体"/>
                <w:color w:val="auto"/>
                <w:sz w:val="20"/>
                <w:szCs w:val="20"/>
                <w:shd w:val="clear" w:color="auto" w:fill="auto"/>
                <w:lang w:eastAsia="zh-CN"/>
              </w:rPr>
              <w:t>》</w:t>
            </w:r>
          </w:p>
          <w:p>
            <w:pPr>
              <w:spacing w:after="0" w:line="240" w:lineRule="auto"/>
              <w:ind w:right="-90"/>
              <w:jc w:val="both"/>
              <w:rPr>
                <w:rFonts w:hint="eastAsia" w:ascii="宋体" w:hAnsi="宋体" w:cs="宋体"/>
                <w:color w:val="auto"/>
                <w:sz w:val="20"/>
                <w:szCs w:val="20"/>
                <w:shd w:val="clear" w:color="auto" w:fill="auto"/>
                <w:lang w:eastAsia="zh-CN"/>
              </w:rPr>
            </w:pPr>
            <w:r>
              <w:rPr>
                <w:rFonts w:hint="eastAsia" w:ascii="宋体" w:hAnsi="宋体" w:cs="宋体"/>
                <w:color w:val="auto"/>
                <w:sz w:val="20"/>
                <w:szCs w:val="20"/>
                <w:shd w:val="clear" w:color="auto" w:fill="auto"/>
                <w:lang w:eastAsia="zh-CN"/>
              </w:rPr>
              <w:t>《企业可持续披露准则第1号——气候（试行）（征求意见稿）》</w:t>
            </w:r>
          </w:p>
        </w:tc>
      </w:tr>
      <w:tr>
        <w:tblPrEx>
          <w:tblBorders>
            <w:top w:val="single" w:color="AEAFB0" w:sz="4" w:space="0"/>
            <w:left w:val="none" w:color="auto" w:sz="0" w:space="0"/>
            <w:bottom w:val="single" w:color="AEAFB0" w:sz="4" w:space="0"/>
            <w:right w:val="none" w:color="auto" w:sz="0" w:space="0"/>
            <w:insideH w:val="none" w:color="auto" w:sz="0" w:space="0"/>
            <w:insideV w:val="none" w:color="auto" w:sz="0" w:space="0"/>
          </w:tblBorders>
          <w:tblCellMar>
            <w:top w:w="101" w:type="dxa"/>
            <w:left w:w="144" w:type="dxa"/>
            <w:bottom w:w="58" w:type="dxa"/>
            <w:right w:w="288" w:type="dxa"/>
          </w:tblCellMar>
        </w:tblPrEx>
        <w:trPr>
          <w:trHeight w:val="1304" w:hRule="atLeast"/>
        </w:trPr>
        <w:tc>
          <w:tcPr>
            <w:tcW w:w="3350" w:type="dxa"/>
            <w:tcBorders>
              <w:top w:val="single" w:color="AEAFB0" w:sz="4" w:space="0"/>
              <w:bottom w:val="single" w:color="AEAFB0" w:sz="4" w:space="0"/>
            </w:tcBorders>
            <w:shd w:val="clear" w:color="auto" w:fill="CEEBF8"/>
            <w:noWrap w:val="0"/>
            <w:vAlign w:val="top"/>
          </w:tcPr>
          <w:p>
            <w:pPr>
              <w:spacing w:after="0" w:line="240" w:lineRule="auto"/>
              <w:ind w:left="-4" w:right="-90"/>
              <w:jc w:val="right"/>
              <w:rPr>
                <w:rFonts w:ascii="Arial" w:hAnsi="Arial" w:cs="Arial"/>
                <w:b/>
                <w:bCs/>
                <w:sz w:val="20"/>
                <w:szCs w:val="20"/>
              </w:rPr>
            </w:pPr>
            <w:r>
              <w:rPr>
                <w:rFonts w:ascii="宋体" w:hAnsi="宋体" w:eastAsia="宋体" w:cs="宋体"/>
                <w:b/>
                <w:bCs/>
                <w:sz w:val="20"/>
                <w:szCs w:val="20"/>
              </w:rPr>
              <w:t>生效日期</w:t>
            </w:r>
          </w:p>
        </w:tc>
        <w:tc>
          <w:tcPr>
            <w:tcW w:w="6910" w:type="dxa"/>
            <w:gridSpan w:val="3"/>
            <w:tcBorders>
              <w:top w:val="single" w:color="AEAFB0" w:sz="4" w:space="0"/>
              <w:bottom w:val="single" w:color="AEAFB0" w:sz="4" w:space="0"/>
            </w:tcBorders>
            <w:noWrap w:val="0"/>
            <w:vAlign w:val="top"/>
          </w:tcPr>
          <w:p>
            <w:pPr>
              <w:spacing w:after="0" w:line="240" w:lineRule="auto"/>
              <w:ind w:left="-4" w:right="-90"/>
              <w:jc w:val="both"/>
              <w:rPr>
                <w:rFonts w:ascii="Arial" w:hAnsi="Arial" w:cs="Arial"/>
                <w:color w:val="auto"/>
                <w:sz w:val="20"/>
                <w:szCs w:val="20"/>
                <w:shd w:val="clear" w:color="auto" w:fill="auto"/>
              </w:rPr>
            </w:pPr>
            <w:r>
              <w:rPr>
                <w:rFonts w:hint="eastAsia" w:ascii="宋体" w:hAnsi="宋体" w:cs="宋体"/>
                <w:color w:val="auto"/>
                <w:sz w:val="20"/>
                <w:szCs w:val="20"/>
                <w:shd w:val="clear" w:color="auto" w:fill="auto"/>
                <w:lang w:eastAsia="zh-CN"/>
              </w:rPr>
              <w:t>《</w:t>
            </w:r>
            <w:r>
              <w:rPr>
                <w:rFonts w:hint="eastAsia" w:ascii="宋体" w:hAnsi="宋体" w:eastAsia="宋体" w:cs="宋体"/>
                <w:color w:val="auto"/>
                <w:sz w:val="20"/>
                <w:szCs w:val="20"/>
                <w:shd w:val="clear" w:color="auto" w:fill="auto"/>
                <w:lang w:eastAsia="zh-CN"/>
              </w:rPr>
              <w:t>基本</w:t>
            </w:r>
            <w:r>
              <w:rPr>
                <w:rFonts w:hint="eastAsia" w:ascii="宋体" w:hAnsi="宋体" w:eastAsia="宋体" w:cs="宋体"/>
                <w:color w:val="auto"/>
                <w:sz w:val="20"/>
                <w:szCs w:val="20"/>
                <w:shd w:val="clear" w:color="auto" w:fill="auto"/>
                <w:lang w:val="en-US" w:eastAsia="zh-CN"/>
              </w:rPr>
              <w:t>准则》</w:t>
            </w:r>
            <w:r>
              <w:rPr>
                <w:rFonts w:hint="eastAsia" w:ascii="宋体" w:hAnsi="宋体" w:eastAsia="宋体" w:cs="宋体"/>
                <w:color w:val="auto"/>
                <w:sz w:val="20"/>
                <w:szCs w:val="20"/>
                <w:shd w:val="clear" w:color="auto" w:fill="auto"/>
                <w:lang w:eastAsia="zh-CN"/>
              </w:rPr>
              <w:t>由财政部</w:t>
            </w:r>
            <w:r>
              <w:rPr>
                <w:rFonts w:hint="eastAsia" w:ascii="宋体" w:hAnsi="宋体" w:cs="宋体"/>
                <w:color w:val="auto"/>
                <w:sz w:val="20"/>
                <w:szCs w:val="20"/>
                <w:shd w:val="clear" w:color="auto" w:fill="auto"/>
                <w:lang w:eastAsia="zh-CN"/>
              </w:rPr>
              <w:t>等</w:t>
            </w:r>
            <w:r>
              <w:rPr>
                <w:rFonts w:hint="eastAsia" w:ascii="宋体" w:hAnsi="宋体" w:eastAsia="宋体" w:cs="宋体"/>
                <w:color w:val="auto"/>
                <w:sz w:val="20"/>
                <w:szCs w:val="20"/>
                <w:shd w:val="clear" w:color="auto" w:fill="auto"/>
                <w:lang w:val="en-US" w:eastAsia="zh-CN"/>
              </w:rPr>
              <w:t>9</w:t>
            </w:r>
            <w:r>
              <w:rPr>
                <w:rFonts w:hint="eastAsia" w:ascii="宋体" w:hAnsi="宋体" w:eastAsia="宋体" w:cs="宋体"/>
                <w:color w:val="auto"/>
                <w:sz w:val="20"/>
                <w:szCs w:val="20"/>
                <w:shd w:val="clear" w:color="auto" w:fill="auto"/>
                <w:lang w:eastAsia="zh-CN"/>
              </w:rPr>
              <w:t>部委于2024年11月20日联合发布，</w:t>
            </w:r>
            <w:r>
              <w:rPr>
                <w:rFonts w:hint="eastAsia" w:ascii="宋体" w:hAnsi="宋体" w:eastAsia="宋体" w:cs="宋体"/>
                <w:i w:val="0"/>
                <w:iCs w:val="0"/>
                <w:caps w:val="0"/>
                <w:color w:val="auto"/>
                <w:spacing w:val="0"/>
                <w:kern w:val="2"/>
                <w:sz w:val="20"/>
                <w:szCs w:val="20"/>
                <w:shd w:val="clear" w:color="auto" w:fill="auto"/>
                <w:lang w:val="en-US" w:eastAsia="zh-CN" w:bidi="ar"/>
              </w:rPr>
              <w:t>在相关监管机构和主管部门确定并公布强制实施的范围和要求之前，可供企业自愿实施</w:t>
            </w:r>
            <w:r>
              <w:rPr>
                <w:rFonts w:hint="eastAsia" w:ascii="宋体" w:hAnsi="宋体" w:eastAsia="宋体" w:cs="宋体"/>
                <w:color w:val="auto"/>
                <w:sz w:val="20"/>
                <w:szCs w:val="20"/>
                <w:shd w:val="clear" w:color="auto" w:fill="auto"/>
                <w:lang w:eastAsia="zh-CN"/>
              </w:rPr>
              <w:t>。</w:t>
            </w:r>
          </w:p>
        </w:tc>
      </w:tr>
      <w:tr>
        <w:tblPrEx>
          <w:tblBorders>
            <w:top w:val="single" w:color="AEAFB0" w:sz="4" w:space="0"/>
            <w:left w:val="none" w:color="auto" w:sz="0" w:space="0"/>
            <w:bottom w:val="single" w:color="AEAFB0" w:sz="4" w:space="0"/>
            <w:right w:val="none" w:color="auto" w:sz="0" w:space="0"/>
            <w:insideH w:val="none" w:color="auto" w:sz="0" w:space="0"/>
            <w:insideV w:val="none" w:color="auto" w:sz="0" w:space="0"/>
          </w:tblBorders>
          <w:tblCellMar>
            <w:top w:w="101" w:type="dxa"/>
            <w:left w:w="144" w:type="dxa"/>
            <w:bottom w:w="58" w:type="dxa"/>
            <w:right w:w="288" w:type="dxa"/>
          </w:tblCellMar>
        </w:tblPrEx>
        <w:trPr>
          <w:trHeight w:val="1417" w:hRule="atLeast"/>
        </w:trPr>
        <w:tc>
          <w:tcPr>
            <w:tcW w:w="3350" w:type="dxa"/>
            <w:shd w:val="clear" w:color="auto" w:fill="CEEBF8"/>
            <w:noWrap w:val="0"/>
            <w:vAlign w:val="center"/>
          </w:tcPr>
          <w:p>
            <w:pPr>
              <w:spacing w:after="0" w:line="240" w:lineRule="auto"/>
              <w:ind w:left="-4" w:right="-90"/>
              <w:jc w:val="right"/>
              <w:rPr>
                <w:rFonts w:ascii="Arial" w:hAnsi="Arial" w:cs="Arial"/>
                <w:b/>
                <w:bCs/>
                <w:sz w:val="20"/>
                <w:szCs w:val="20"/>
              </w:rPr>
            </w:pPr>
            <w:r>
              <w:rPr>
                <w:rFonts w:hint="eastAsia" w:ascii="Arial" w:hAnsi="Arial" w:cs="Arial"/>
                <w:b/>
                <w:bCs/>
                <w:sz w:val="20"/>
                <w:szCs w:val="20"/>
              </w:rPr>
              <w:t>报告主体</w:t>
            </w:r>
          </w:p>
        </w:tc>
        <w:tc>
          <w:tcPr>
            <w:tcW w:w="6910" w:type="dxa"/>
            <w:gridSpan w:val="3"/>
            <w:noWrap w:val="0"/>
            <w:vAlign w:val="top"/>
          </w:tcPr>
          <w:p>
            <w:pPr>
              <w:keepNext w:val="0"/>
              <w:keepLines w:val="0"/>
              <w:widowControl/>
              <w:suppressLineNumbers w:val="0"/>
              <w:spacing w:after="0" w:line="240" w:lineRule="auto"/>
              <w:jc w:val="both"/>
              <w:rPr>
                <w:rFonts w:hint="eastAsia" w:ascii="宋体" w:hAnsi="宋体" w:cs="宋体"/>
                <w:color w:val="auto"/>
                <w:sz w:val="20"/>
                <w:szCs w:val="20"/>
                <w:shd w:val="clear" w:color="auto" w:fill="auto"/>
                <w:lang w:eastAsia="zh-CN"/>
              </w:rPr>
            </w:pPr>
            <w:r>
              <w:rPr>
                <w:rFonts w:hint="eastAsia" w:ascii="宋体" w:hAnsi="宋体" w:cs="宋体"/>
                <w:color w:val="auto"/>
                <w:sz w:val="20"/>
                <w:szCs w:val="20"/>
                <w:shd w:val="clear" w:color="auto" w:fill="auto"/>
                <w:lang w:eastAsia="zh-CN"/>
              </w:rPr>
              <w:t>待定。</w:t>
            </w:r>
          </w:p>
          <w:p>
            <w:pPr>
              <w:keepNext w:val="0"/>
              <w:keepLines w:val="0"/>
              <w:widowControl/>
              <w:suppressLineNumbers w:val="0"/>
              <w:spacing w:after="0" w:line="240" w:lineRule="auto"/>
              <w:jc w:val="both"/>
              <w:rPr>
                <w:rFonts w:hint="eastAsia" w:ascii="宋体" w:hAnsi="宋体" w:cs="宋体"/>
                <w:color w:val="auto"/>
                <w:sz w:val="20"/>
                <w:szCs w:val="20"/>
                <w:shd w:val="clear" w:color="auto" w:fill="auto"/>
                <w:lang w:eastAsia="zh-CN"/>
              </w:rPr>
            </w:pPr>
          </w:p>
          <w:p>
            <w:pPr>
              <w:spacing w:after="0" w:line="240" w:lineRule="auto"/>
              <w:ind w:left="0" w:right="0"/>
              <w:jc w:val="both"/>
              <w:rPr>
                <w:rFonts w:ascii="Arial" w:hAnsi="Arial" w:cs="Arial"/>
                <w:color w:val="auto"/>
                <w:sz w:val="20"/>
                <w:szCs w:val="20"/>
                <w:shd w:val="clear" w:color="auto" w:fill="auto"/>
              </w:rPr>
            </w:pPr>
            <w:r>
              <w:rPr>
                <w:rFonts w:hint="eastAsia" w:ascii="宋体" w:hAnsi="宋体" w:eastAsia="宋体" w:cs="宋体"/>
                <w:i w:val="0"/>
                <w:iCs w:val="0"/>
                <w:caps w:val="0"/>
                <w:color w:val="auto"/>
                <w:spacing w:val="0"/>
                <w:kern w:val="2"/>
                <w:sz w:val="20"/>
                <w:szCs w:val="20"/>
                <w:shd w:val="clear" w:color="auto" w:fill="auto"/>
                <w:lang w:val="en-US" w:eastAsia="zh-CN" w:bidi="ar"/>
              </w:rPr>
              <w:t>从上市公司向非上市公司扩展，从大型企业向中小企业扩展，从定性要求向定量要求扩展，从自愿披露向强制披露扩展。</w:t>
            </w:r>
          </w:p>
        </w:tc>
      </w:tr>
      <w:tr>
        <w:tblPrEx>
          <w:tblBorders>
            <w:top w:val="single" w:color="AEAFB0" w:sz="4" w:space="0"/>
            <w:left w:val="none" w:color="auto" w:sz="0" w:space="0"/>
            <w:bottom w:val="single" w:color="AEAFB0" w:sz="4" w:space="0"/>
            <w:right w:val="none" w:color="auto" w:sz="0" w:space="0"/>
            <w:insideH w:val="none" w:color="auto" w:sz="0" w:space="0"/>
            <w:insideV w:val="none" w:color="auto" w:sz="0" w:space="0"/>
          </w:tblBorders>
          <w:tblCellMar>
            <w:top w:w="101" w:type="dxa"/>
            <w:left w:w="144" w:type="dxa"/>
            <w:bottom w:w="58" w:type="dxa"/>
            <w:right w:w="288" w:type="dxa"/>
          </w:tblCellMar>
        </w:tblPrEx>
        <w:trPr>
          <w:trHeight w:val="1134" w:hRule="atLeast"/>
        </w:trPr>
        <w:tc>
          <w:tcPr>
            <w:tcW w:w="3350" w:type="dxa"/>
            <w:tcBorders>
              <w:top w:val="single" w:color="AEAFB0" w:sz="4" w:space="0"/>
              <w:bottom w:val="single" w:color="AEAFB0" w:sz="4" w:space="0"/>
            </w:tcBorders>
            <w:shd w:val="clear" w:color="auto" w:fill="CEEBF8"/>
            <w:noWrap w:val="0"/>
            <w:vAlign w:val="top"/>
          </w:tcPr>
          <w:p>
            <w:pPr>
              <w:spacing w:after="0" w:line="240" w:lineRule="auto"/>
              <w:ind w:left="-4" w:right="-90"/>
              <w:jc w:val="right"/>
              <w:rPr>
                <w:rFonts w:hint="eastAsia" w:ascii="Arial" w:hAnsi="Arial" w:eastAsia="宋体" w:cs="Arial"/>
                <w:b/>
                <w:bCs/>
                <w:sz w:val="20"/>
                <w:szCs w:val="20"/>
                <w:lang w:val="en-US" w:eastAsia="zh-CN"/>
              </w:rPr>
            </w:pPr>
            <w:r>
              <w:rPr>
                <w:rFonts w:hint="eastAsia" w:ascii="宋体" w:hAnsi="宋体" w:eastAsia="宋体" w:cs="宋体"/>
                <w:b/>
                <w:bCs/>
                <w:sz w:val="20"/>
                <w:szCs w:val="20"/>
              </w:rPr>
              <w:t>强制或</w:t>
            </w:r>
            <w:r>
              <w:rPr>
                <w:rFonts w:hint="eastAsia" w:ascii="宋体" w:hAnsi="宋体" w:cs="宋体"/>
                <w:b/>
                <w:bCs/>
                <w:sz w:val="20"/>
                <w:szCs w:val="20"/>
                <w:lang w:val="en-US" w:eastAsia="zh-CN"/>
              </w:rPr>
              <w:t>自愿</w:t>
            </w:r>
          </w:p>
        </w:tc>
        <w:tc>
          <w:tcPr>
            <w:tcW w:w="6910" w:type="dxa"/>
            <w:gridSpan w:val="3"/>
            <w:tcBorders>
              <w:top w:val="single" w:color="AEAFB0" w:sz="4" w:space="0"/>
              <w:bottom w:val="single" w:color="AEAFB0" w:sz="4" w:space="0"/>
            </w:tcBorders>
            <w:noWrap w:val="0"/>
            <w:vAlign w:val="top"/>
          </w:tcPr>
          <w:p>
            <w:pPr>
              <w:spacing w:after="0" w:line="240" w:lineRule="auto"/>
              <w:ind w:left="-4" w:right="-90"/>
              <w:jc w:val="both"/>
              <w:rPr>
                <w:rFonts w:hint="eastAsia" w:ascii="Arial" w:hAnsi="Arial" w:eastAsia="宋体" w:cs="Arial"/>
                <w:color w:val="auto"/>
                <w:sz w:val="20"/>
                <w:szCs w:val="20"/>
                <w:shd w:val="clear" w:color="auto" w:fill="auto"/>
                <w:lang w:eastAsia="zh-CN"/>
              </w:rPr>
            </w:pPr>
            <w:r>
              <w:rPr>
                <w:rFonts w:ascii="宋体" w:hAnsi="宋体" w:eastAsia="宋体" w:cs="宋体"/>
                <w:color w:val="auto"/>
                <w:sz w:val="20"/>
                <w:szCs w:val="20"/>
                <w:shd w:val="clear" w:color="auto" w:fill="auto"/>
              </w:rPr>
              <w:t>待定</w:t>
            </w:r>
            <w:r>
              <w:rPr>
                <w:rFonts w:hint="eastAsia" w:ascii="宋体" w:hAnsi="宋体" w:cs="宋体"/>
                <w:color w:val="auto"/>
                <w:sz w:val="20"/>
                <w:szCs w:val="20"/>
                <w:shd w:val="clear" w:color="auto" w:fill="auto"/>
                <w:lang w:eastAsia="zh-CN"/>
              </w:rPr>
              <w:t>。</w:t>
            </w:r>
          </w:p>
          <w:p>
            <w:pPr>
              <w:spacing w:after="0" w:line="240" w:lineRule="auto"/>
              <w:ind w:left="-4" w:right="-90"/>
              <w:jc w:val="both"/>
              <w:rPr>
                <w:rFonts w:ascii="Arial" w:hAnsi="Arial" w:cs="Arial"/>
                <w:color w:val="auto"/>
                <w:sz w:val="20"/>
                <w:szCs w:val="20"/>
                <w:shd w:val="clear" w:color="auto" w:fill="auto"/>
              </w:rPr>
            </w:pPr>
          </w:p>
          <w:p>
            <w:pPr>
              <w:spacing w:after="0" w:line="240" w:lineRule="auto"/>
              <w:ind w:left="-4" w:right="-90"/>
              <w:jc w:val="both"/>
              <w:rPr>
                <w:rFonts w:hint="eastAsia" w:ascii="Arial" w:hAnsi="Arial" w:eastAsia="宋体" w:cs="Arial"/>
                <w:color w:val="auto"/>
                <w:sz w:val="20"/>
                <w:szCs w:val="20"/>
                <w:shd w:val="clear" w:color="auto" w:fill="auto"/>
                <w:lang w:eastAsia="zh-CN"/>
              </w:rPr>
            </w:pPr>
            <w:r>
              <w:rPr>
                <w:rFonts w:hint="eastAsia" w:ascii="宋体" w:hAnsi="宋体" w:cs="宋体"/>
                <w:color w:val="auto"/>
                <w:sz w:val="20"/>
                <w:szCs w:val="20"/>
                <w:shd w:val="clear" w:color="auto" w:fill="auto"/>
                <w:lang w:eastAsia="zh-CN"/>
              </w:rPr>
              <w:t>《基本准则》</w:t>
            </w:r>
            <w:r>
              <w:rPr>
                <w:rFonts w:hint="eastAsia" w:ascii="宋体" w:hAnsi="宋体" w:eastAsia="宋体" w:cs="宋体"/>
                <w:color w:val="auto"/>
                <w:sz w:val="20"/>
                <w:szCs w:val="20"/>
                <w:shd w:val="clear" w:color="auto" w:fill="auto"/>
              </w:rPr>
              <w:t>在实施范围及实施要求作出规定之前，由企业自愿实施</w:t>
            </w:r>
            <w:r>
              <w:rPr>
                <w:rFonts w:hint="eastAsia" w:ascii="宋体" w:hAnsi="宋体" w:cs="宋体"/>
                <w:color w:val="auto"/>
                <w:sz w:val="20"/>
                <w:szCs w:val="20"/>
                <w:shd w:val="clear" w:color="auto" w:fill="auto"/>
                <w:lang w:eastAsia="zh-CN"/>
              </w:rPr>
              <w:t>。</w:t>
            </w:r>
          </w:p>
        </w:tc>
      </w:tr>
      <w:tr>
        <w:tblPrEx>
          <w:tblBorders>
            <w:top w:val="single" w:color="AEAFB0" w:sz="4" w:space="0"/>
            <w:left w:val="none" w:color="auto" w:sz="0" w:space="0"/>
            <w:bottom w:val="single" w:color="AEAFB0" w:sz="4" w:space="0"/>
            <w:right w:val="none" w:color="auto" w:sz="0" w:space="0"/>
            <w:insideH w:val="none" w:color="auto" w:sz="0" w:space="0"/>
            <w:insideV w:val="none" w:color="auto" w:sz="0" w:space="0"/>
          </w:tblBorders>
          <w:tblCellMar>
            <w:top w:w="101" w:type="dxa"/>
            <w:left w:w="144" w:type="dxa"/>
            <w:bottom w:w="58" w:type="dxa"/>
            <w:right w:w="288" w:type="dxa"/>
          </w:tblCellMar>
        </w:tblPrEx>
        <w:trPr>
          <w:trHeight w:val="1928" w:hRule="atLeast"/>
        </w:trPr>
        <w:tc>
          <w:tcPr>
            <w:tcW w:w="3350" w:type="dxa"/>
            <w:shd w:val="clear" w:color="auto" w:fill="CEEBF8"/>
            <w:noWrap w:val="0"/>
            <w:vAlign w:val="top"/>
          </w:tcPr>
          <w:p>
            <w:pPr>
              <w:spacing w:after="0" w:line="240" w:lineRule="auto"/>
              <w:ind w:left="-4" w:right="-90"/>
              <w:jc w:val="right"/>
              <w:rPr>
                <w:rFonts w:ascii="Arial" w:hAnsi="Arial" w:cs="Arial"/>
                <w:b/>
                <w:bCs/>
                <w:sz w:val="20"/>
                <w:szCs w:val="20"/>
              </w:rPr>
            </w:pPr>
            <w:r>
              <w:rPr>
                <w:rFonts w:hint="eastAsia" w:ascii="宋体" w:hAnsi="宋体" w:eastAsia="宋体" w:cs="宋体"/>
                <w:b/>
                <w:bCs/>
                <w:sz w:val="20"/>
                <w:szCs w:val="20"/>
              </w:rPr>
              <w:t>关注</w:t>
            </w:r>
          </w:p>
        </w:tc>
        <w:tc>
          <w:tcPr>
            <w:tcW w:w="6910" w:type="dxa"/>
            <w:gridSpan w:val="3"/>
            <w:noWrap w:val="0"/>
            <w:vAlign w:val="top"/>
          </w:tcPr>
          <w:p>
            <w:pPr>
              <w:spacing w:after="0" w:line="240" w:lineRule="auto"/>
              <w:ind w:left="-4" w:right="-90"/>
              <w:jc w:val="both"/>
              <w:rPr>
                <w:rFonts w:hint="eastAsia" w:ascii="宋体" w:hAnsi="宋体" w:eastAsia="宋体" w:cs="宋体"/>
                <w:color w:val="auto"/>
                <w:sz w:val="20"/>
                <w:szCs w:val="20"/>
                <w:shd w:val="clear" w:color="auto" w:fill="auto"/>
              </w:rPr>
            </w:pPr>
            <w:r>
              <w:rPr>
                <w:rFonts w:hint="eastAsia" w:ascii="宋体" w:hAnsi="宋体" w:eastAsia="宋体" w:cs="宋体"/>
                <w:color w:val="auto"/>
                <w:sz w:val="20"/>
                <w:szCs w:val="20"/>
                <w:shd w:val="clear" w:color="auto" w:fill="auto"/>
              </w:rPr>
              <w:t>可持续信息使用者包括投资者、债权人、政府及其有关部门和其他利益相关方。其中，投资者、债权人为可持续信息的基本使用者。</w:t>
            </w:r>
          </w:p>
          <w:p>
            <w:pPr>
              <w:spacing w:after="0" w:line="240" w:lineRule="auto"/>
              <w:ind w:left="-4" w:right="-90"/>
              <w:jc w:val="both"/>
              <w:rPr>
                <w:rFonts w:hint="eastAsia" w:ascii="宋体" w:hAnsi="宋体" w:eastAsia="宋体" w:cs="宋体"/>
                <w:color w:val="auto"/>
                <w:sz w:val="20"/>
                <w:szCs w:val="20"/>
                <w:shd w:val="clear" w:color="auto" w:fill="auto"/>
              </w:rPr>
            </w:pPr>
          </w:p>
          <w:p>
            <w:pPr>
              <w:spacing w:after="0" w:line="240" w:lineRule="auto"/>
              <w:ind w:left="-4" w:right="-90"/>
              <w:jc w:val="both"/>
              <w:rPr>
                <w:rFonts w:ascii="Arial" w:hAnsi="Arial" w:cs="Arial"/>
                <w:color w:val="auto"/>
                <w:sz w:val="20"/>
                <w:szCs w:val="20"/>
                <w:shd w:val="clear" w:color="auto" w:fill="auto"/>
              </w:rPr>
            </w:pPr>
            <w:r>
              <w:rPr>
                <w:rFonts w:hint="eastAsia" w:ascii="宋体" w:hAnsi="宋体" w:eastAsia="宋体" w:cs="宋体"/>
                <w:color w:val="auto"/>
                <w:sz w:val="20"/>
                <w:szCs w:val="20"/>
                <w:shd w:val="clear" w:color="auto" w:fill="auto"/>
              </w:rPr>
              <w:t>信息披露须确保对投资者具有</w:t>
            </w:r>
            <w:r>
              <w:rPr>
                <w:rFonts w:hint="eastAsia" w:ascii="宋体" w:hAnsi="宋体" w:cs="宋体"/>
                <w:color w:val="auto"/>
                <w:sz w:val="20"/>
                <w:szCs w:val="20"/>
                <w:shd w:val="clear" w:color="auto" w:fill="auto"/>
                <w:lang w:eastAsia="zh-CN"/>
              </w:rPr>
              <w:t>重要</w:t>
            </w:r>
            <w:r>
              <w:rPr>
                <w:rFonts w:hint="eastAsia" w:ascii="宋体" w:hAnsi="宋体" w:eastAsia="宋体" w:cs="宋体"/>
                <w:color w:val="auto"/>
                <w:sz w:val="20"/>
                <w:szCs w:val="20"/>
                <w:shd w:val="clear" w:color="auto" w:fill="auto"/>
              </w:rPr>
              <w:t>性的</w:t>
            </w:r>
            <w:r>
              <w:rPr>
                <w:rFonts w:hint="eastAsia" w:ascii="宋体" w:hAnsi="宋体" w:cs="宋体"/>
                <w:color w:val="auto"/>
                <w:sz w:val="20"/>
                <w:szCs w:val="20"/>
                <w:shd w:val="clear" w:color="auto" w:fill="auto"/>
                <w:lang w:eastAsia="zh-CN"/>
              </w:rPr>
              <w:t>可持续风险和机遇</w:t>
            </w:r>
            <w:r>
              <w:rPr>
                <w:rFonts w:hint="eastAsia" w:ascii="宋体" w:hAnsi="宋体" w:eastAsia="宋体" w:cs="宋体"/>
                <w:color w:val="auto"/>
                <w:sz w:val="20"/>
                <w:szCs w:val="20"/>
                <w:shd w:val="clear" w:color="auto" w:fill="auto"/>
              </w:rPr>
              <w:t>信息不被因满足更广泛利益相关</w:t>
            </w:r>
            <w:r>
              <w:rPr>
                <w:rFonts w:hint="eastAsia" w:ascii="宋体" w:hAnsi="宋体" w:cs="宋体"/>
                <w:color w:val="auto"/>
                <w:sz w:val="20"/>
                <w:szCs w:val="20"/>
                <w:shd w:val="clear" w:color="auto" w:fill="auto"/>
                <w:lang w:eastAsia="zh-CN"/>
              </w:rPr>
              <w:t>方</w:t>
            </w:r>
            <w:r>
              <w:rPr>
                <w:rFonts w:hint="eastAsia" w:ascii="宋体" w:hAnsi="宋体" w:eastAsia="宋体" w:cs="宋体"/>
                <w:color w:val="auto"/>
                <w:sz w:val="20"/>
                <w:szCs w:val="20"/>
                <w:shd w:val="clear" w:color="auto" w:fill="auto"/>
              </w:rPr>
              <w:t>需求的</w:t>
            </w:r>
            <w:r>
              <w:rPr>
                <w:rFonts w:hint="eastAsia" w:ascii="宋体" w:hAnsi="宋体" w:cs="宋体"/>
                <w:color w:val="auto"/>
                <w:sz w:val="20"/>
                <w:szCs w:val="20"/>
                <w:shd w:val="clear" w:color="auto" w:fill="auto"/>
                <w:lang w:eastAsia="zh-CN"/>
              </w:rPr>
              <w:t>可持续影响</w:t>
            </w:r>
            <w:r>
              <w:rPr>
                <w:rFonts w:hint="eastAsia" w:ascii="宋体" w:hAnsi="宋体" w:eastAsia="宋体" w:cs="宋体"/>
                <w:color w:val="auto"/>
                <w:sz w:val="20"/>
                <w:szCs w:val="20"/>
                <w:shd w:val="clear" w:color="auto" w:fill="auto"/>
              </w:rPr>
              <w:t>信息所掩盖</w:t>
            </w:r>
            <w:r>
              <w:rPr>
                <w:rFonts w:ascii="宋体" w:hAnsi="宋体" w:eastAsia="宋体" w:cs="宋体"/>
                <w:color w:val="auto"/>
                <w:sz w:val="20"/>
                <w:szCs w:val="20"/>
                <w:shd w:val="clear" w:color="auto" w:fill="auto"/>
              </w:rPr>
              <w:t>。</w:t>
            </w:r>
          </w:p>
        </w:tc>
      </w:tr>
      <w:tr>
        <w:tblPrEx>
          <w:tblBorders>
            <w:top w:val="single" w:color="AEAFB0" w:sz="4" w:space="0"/>
            <w:left w:val="none" w:color="auto" w:sz="0" w:space="0"/>
            <w:bottom w:val="single" w:color="AEAFB0" w:sz="4" w:space="0"/>
            <w:right w:val="none" w:color="auto" w:sz="0" w:space="0"/>
            <w:insideH w:val="none" w:color="auto" w:sz="0" w:space="0"/>
            <w:insideV w:val="none" w:color="auto" w:sz="0" w:space="0"/>
          </w:tblBorders>
          <w:tblCellMar>
            <w:top w:w="101" w:type="dxa"/>
            <w:left w:w="144" w:type="dxa"/>
            <w:bottom w:w="58" w:type="dxa"/>
            <w:right w:w="288" w:type="dxa"/>
          </w:tblCellMar>
        </w:tblPrEx>
        <w:trPr>
          <w:trHeight w:val="1134" w:hRule="atLeast"/>
        </w:trPr>
        <w:tc>
          <w:tcPr>
            <w:tcW w:w="3350" w:type="dxa"/>
            <w:tcBorders>
              <w:top w:val="single" w:color="AEAFB0" w:sz="4" w:space="0"/>
              <w:bottom w:val="single" w:color="AEAFB0" w:sz="4" w:space="0"/>
            </w:tcBorders>
            <w:shd w:val="clear" w:color="auto" w:fill="CEEBF8"/>
            <w:noWrap w:val="0"/>
            <w:vAlign w:val="top"/>
          </w:tcPr>
          <w:p>
            <w:pPr>
              <w:spacing w:after="0" w:line="240" w:lineRule="auto"/>
              <w:ind w:left="-4" w:right="-90"/>
              <w:jc w:val="right"/>
              <w:rPr>
                <w:rFonts w:hint="eastAsia" w:ascii="宋体" w:hAnsi="宋体" w:eastAsia="宋体" w:cs="宋体"/>
                <w:b/>
                <w:bCs/>
                <w:sz w:val="20"/>
                <w:szCs w:val="20"/>
              </w:rPr>
            </w:pPr>
            <w:r>
              <w:rPr>
                <w:rFonts w:hint="eastAsia" w:ascii="宋体" w:hAnsi="宋体" w:eastAsia="宋体" w:cs="宋体"/>
                <w:b/>
                <w:bCs/>
                <w:sz w:val="20"/>
                <w:szCs w:val="20"/>
              </w:rPr>
              <w:t>报告主体</w:t>
            </w:r>
            <w:r>
              <w:rPr>
                <w:rFonts w:hint="eastAsia" w:ascii="宋体" w:hAnsi="宋体" w:cs="宋体"/>
                <w:b/>
                <w:bCs/>
                <w:sz w:val="20"/>
                <w:szCs w:val="20"/>
                <w:lang w:eastAsia="zh-CN"/>
              </w:rPr>
              <w:t>必须</w:t>
            </w:r>
            <w:r>
              <w:rPr>
                <w:rFonts w:hint="eastAsia" w:ascii="宋体" w:hAnsi="宋体" w:eastAsia="宋体" w:cs="宋体"/>
                <w:b/>
                <w:bCs/>
                <w:sz w:val="20"/>
                <w:szCs w:val="20"/>
              </w:rPr>
              <w:t>披露的可持续</w:t>
            </w:r>
          </w:p>
          <w:p>
            <w:pPr>
              <w:spacing w:after="0" w:line="240" w:lineRule="auto"/>
              <w:ind w:left="-4" w:right="-90"/>
              <w:jc w:val="right"/>
              <w:rPr>
                <w:rFonts w:ascii="Arial" w:hAnsi="Arial" w:cs="Arial"/>
                <w:b/>
                <w:bCs/>
                <w:sz w:val="20"/>
                <w:szCs w:val="20"/>
              </w:rPr>
            </w:pPr>
            <w:r>
              <w:rPr>
                <w:rFonts w:hint="eastAsia" w:ascii="宋体" w:hAnsi="宋体" w:eastAsia="宋体" w:cs="宋体"/>
                <w:b/>
                <w:bCs/>
                <w:sz w:val="20"/>
                <w:szCs w:val="20"/>
              </w:rPr>
              <w:t>风险</w:t>
            </w:r>
            <w:r>
              <w:rPr>
                <w:rFonts w:hint="eastAsia" w:ascii="宋体" w:hAnsi="宋体" w:cs="宋体"/>
                <w:b/>
                <w:bCs/>
                <w:sz w:val="20"/>
                <w:szCs w:val="20"/>
                <w:lang w:eastAsia="zh-CN"/>
              </w:rPr>
              <w:t>和</w:t>
            </w:r>
            <w:r>
              <w:rPr>
                <w:rFonts w:hint="eastAsia" w:ascii="宋体" w:hAnsi="宋体" w:eastAsia="宋体" w:cs="宋体"/>
                <w:b/>
                <w:bCs/>
                <w:sz w:val="20"/>
                <w:szCs w:val="20"/>
              </w:rPr>
              <w:t>机遇范围</w:t>
            </w:r>
          </w:p>
        </w:tc>
        <w:tc>
          <w:tcPr>
            <w:tcW w:w="6910" w:type="dxa"/>
            <w:gridSpan w:val="3"/>
            <w:tcBorders>
              <w:top w:val="single" w:color="AEAFB0" w:sz="4" w:space="0"/>
              <w:bottom w:val="single" w:color="AEAFB0" w:sz="4" w:space="0"/>
            </w:tcBorders>
            <w:noWrap w:val="0"/>
            <w:vAlign w:val="top"/>
          </w:tcPr>
          <w:p>
            <w:pPr>
              <w:pStyle w:val="41"/>
              <w:numPr>
                <w:ilvl w:val="0"/>
                <w:numId w:val="1"/>
              </w:numPr>
              <w:spacing w:after="0" w:line="240" w:lineRule="auto"/>
              <w:ind w:left="-4" w:right="-90"/>
              <w:jc w:val="both"/>
              <w:rPr>
                <w:rFonts w:ascii="Arial" w:hAnsi="Arial" w:cs="Arial"/>
                <w:color w:val="auto"/>
                <w:sz w:val="20"/>
                <w:szCs w:val="20"/>
                <w:shd w:val="clear" w:color="auto" w:fill="auto"/>
              </w:rPr>
            </w:pPr>
            <w:r>
              <w:rPr>
                <w:rFonts w:hint="eastAsia" w:ascii="宋体" w:hAnsi="宋体" w:eastAsia="宋体" w:cs="宋体"/>
                <w:color w:val="auto"/>
                <w:sz w:val="20"/>
                <w:szCs w:val="20"/>
                <w:shd w:val="clear" w:color="auto" w:fill="auto"/>
              </w:rPr>
              <w:t>《基本准则》旨在为所有可持续</w:t>
            </w:r>
            <w:r>
              <w:rPr>
                <w:rFonts w:hint="eastAsia" w:ascii="宋体" w:hAnsi="宋体" w:cs="宋体"/>
                <w:color w:val="auto"/>
                <w:sz w:val="20"/>
                <w:szCs w:val="20"/>
                <w:shd w:val="clear" w:color="auto" w:fill="auto"/>
                <w:lang w:eastAsia="zh-CN"/>
              </w:rPr>
              <w:t>风险和机遇</w:t>
            </w:r>
            <w:r>
              <w:rPr>
                <w:rFonts w:hint="eastAsia" w:ascii="宋体" w:hAnsi="宋体" w:eastAsia="宋体" w:cs="宋体"/>
                <w:color w:val="auto"/>
                <w:sz w:val="20"/>
                <w:szCs w:val="20"/>
                <w:shd w:val="clear" w:color="auto" w:fill="auto"/>
              </w:rPr>
              <w:t>的披露提供基础。</w:t>
            </w:r>
          </w:p>
        </w:tc>
      </w:tr>
      <w:tr>
        <w:tblPrEx>
          <w:tblBorders>
            <w:top w:val="single" w:color="AEAFB0" w:sz="4" w:space="0"/>
            <w:left w:val="none" w:color="auto" w:sz="0" w:space="0"/>
            <w:bottom w:val="single" w:color="AEAFB0" w:sz="4" w:space="0"/>
            <w:right w:val="none" w:color="auto" w:sz="0" w:space="0"/>
            <w:insideH w:val="none" w:color="auto" w:sz="0" w:space="0"/>
            <w:insideV w:val="none" w:color="auto" w:sz="0" w:space="0"/>
          </w:tblBorders>
          <w:tblCellMar>
            <w:top w:w="101" w:type="dxa"/>
            <w:left w:w="144" w:type="dxa"/>
            <w:bottom w:w="58" w:type="dxa"/>
            <w:right w:w="288" w:type="dxa"/>
          </w:tblCellMar>
        </w:tblPrEx>
        <w:trPr>
          <w:trHeight w:val="300" w:hRule="atLeast"/>
        </w:trPr>
        <w:tc>
          <w:tcPr>
            <w:tcW w:w="3350" w:type="dxa"/>
            <w:shd w:val="clear" w:color="auto" w:fill="CEEBF8"/>
            <w:noWrap w:val="0"/>
            <w:vAlign w:val="top"/>
          </w:tcPr>
          <w:p>
            <w:pPr>
              <w:spacing w:after="0" w:line="240" w:lineRule="auto"/>
              <w:ind w:left="-4" w:right="-90"/>
              <w:jc w:val="right"/>
              <w:rPr>
                <w:rFonts w:hint="eastAsia" w:ascii="Arial" w:hAnsi="Arial" w:eastAsia="宋体" w:cs="Arial"/>
                <w:b/>
                <w:bCs/>
                <w:sz w:val="20"/>
                <w:szCs w:val="20"/>
                <w:lang w:eastAsia="zh-CN"/>
              </w:rPr>
            </w:pPr>
            <w:r>
              <w:rPr>
                <w:rFonts w:hint="eastAsia" w:ascii="宋体" w:hAnsi="宋体" w:eastAsia="宋体" w:cs="宋体"/>
                <w:b/>
                <w:bCs/>
                <w:sz w:val="20"/>
                <w:szCs w:val="20"/>
              </w:rPr>
              <w:t>重要性披露</w:t>
            </w:r>
            <w:r>
              <w:rPr>
                <w:rFonts w:hint="eastAsia" w:ascii="宋体" w:hAnsi="宋体" w:cs="宋体"/>
                <w:b/>
                <w:bCs/>
                <w:sz w:val="20"/>
                <w:szCs w:val="20"/>
                <w:lang w:eastAsia="zh-CN"/>
              </w:rPr>
              <w:t>的</w:t>
            </w:r>
            <w:r>
              <w:rPr>
                <w:rFonts w:hint="eastAsia" w:ascii="宋体" w:hAnsi="宋体" w:eastAsia="宋体" w:cs="宋体"/>
                <w:b/>
                <w:bCs/>
                <w:i w:val="0"/>
                <w:iCs w:val="0"/>
                <w:caps w:val="0"/>
                <w:color w:val="404040"/>
                <w:spacing w:val="0"/>
                <w:kern w:val="2"/>
                <w:sz w:val="20"/>
                <w:szCs w:val="20"/>
                <w:shd w:val="clear" w:color="auto" w:fill="auto"/>
                <w:lang w:val="en-US" w:eastAsia="zh-CN" w:bidi="ar"/>
              </w:rPr>
              <w:t>筛选标准</w:t>
            </w:r>
          </w:p>
        </w:tc>
        <w:tc>
          <w:tcPr>
            <w:tcW w:w="6910" w:type="dxa"/>
            <w:gridSpan w:val="3"/>
            <w:noWrap w:val="0"/>
            <w:vAlign w:val="top"/>
          </w:tcPr>
          <w:p>
            <w:pPr>
              <w:keepNext w:val="0"/>
              <w:keepLines w:val="0"/>
              <w:widowControl/>
              <w:suppressLineNumbers w:val="0"/>
              <w:shd w:val="clear" w:color="auto" w:fill="auto"/>
              <w:spacing w:after="0" w:line="240" w:lineRule="auto"/>
              <w:jc w:val="both"/>
              <w:rPr>
                <w:rFonts w:hint="default" w:ascii="宋体" w:hAnsi="宋体" w:eastAsia="宋体" w:cs="宋体"/>
                <w:color w:val="auto"/>
                <w:sz w:val="20"/>
                <w:szCs w:val="20"/>
                <w:shd w:val="clear" w:color="auto" w:fill="auto"/>
                <w:lang w:eastAsia="zh-CN"/>
              </w:rPr>
            </w:pPr>
            <w:r>
              <w:rPr>
                <w:rFonts w:hint="eastAsia" w:ascii="宋体" w:hAnsi="宋体" w:eastAsia="宋体" w:cs="宋体"/>
                <w:color w:val="auto"/>
                <w:sz w:val="20"/>
                <w:szCs w:val="20"/>
                <w:shd w:val="clear" w:color="auto" w:fill="auto"/>
                <w:lang w:eastAsia="zh-CN"/>
              </w:rPr>
              <w:t>根据</w:t>
            </w:r>
            <w:r>
              <w:rPr>
                <w:rFonts w:hint="default" w:ascii="宋体" w:hAnsi="宋体" w:eastAsia="宋体" w:cs="宋体"/>
                <w:color w:val="auto"/>
                <w:sz w:val="20"/>
                <w:szCs w:val="20"/>
                <w:shd w:val="clear" w:color="auto" w:fill="auto"/>
                <w:lang w:eastAsia="zh-CN"/>
              </w:rPr>
              <w:t>《基本准则》，重要信息</w:t>
            </w:r>
            <w:r>
              <w:rPr>
                <w:rFonts w:hint="eastAsia" w:ascii="宋体" w:hAnsi="宋体" w:eastAsia="宋体" w:cs="宋体"/>
                <w:color w:val="auto"/>
                <w:sz w:val="20"/>
                <w:szCs w:val="20"/>
                <w:shd w:val="clear" w:color="auto" w:fill="auto"/>
                <w:lang w:eastAsia="zh-CN"/>
              </w:rPr>
              <w:t>是</w:t>
            </w:r>
            <w:r>
              <w:rPr>
                <w:rFonts w:hint="default" w:ascii="宋体" w:hAnsi="宋体" w:eastAsia="宋体" w:cs="宋体"/>
                <w:color w:val="auto"/>
                <w:sz w:val="20"/>
                <w:szCs w:val="20"/>
                <w:shd w:val="clear" w:color="auto" w:fill="auto"/>
                <w:lang w:eastAsia="zh-CN"/>
              </w:rPr>
              <w:t>指与可持续风险</w:t>
            </w:r>
            <w:r>
              <w:rPr>
                <w:rFonts w:hint="eastAsia" w:ascii="宋体" w:hAnsi="宋体" w:eastAsia="宋体" w:cs="宋体"/>
                <w:color w:val="auto"/>
                <w:sz w:val="20"/>
                <w:szCs w:val="20"/>
                <w:shd w:val="clear" w:color="auto" w:fill="auto"/>
                <w:lang w:eastAsia="zh-CN"/>
              </w:rPr>
              <w:t>、</w:t>
            </w:r>
            <w:r>
              <w:rPr>
                <w:rFonts w:hint="default" w:ascii="宋体" w:hAnsi="宋体" w:eastAsia="宋体" w:cs="宋体"/>
                <w:color w:val="auto"/>
                <w:sz w:val="20"/>
                <w:szCs w:val="20"/>
                <w:shd w:val="clear" w:color="auto" w:fill="auto"/>
                <w:lang w:eastAsia="zh-CN"/>
              </w:rPr>
              <w:t>机遇</w:t>
            </w:r>
            <w:r>
              <w:rPr>
                <w:rFonts w:hint="eastAsia" w:ascii="宋体" w:hAnsi="宋体" w:eastAsia="宋体" w:cs="宋体"/>
                <w:color w:val="auto"/>
                <w:sz w:val="20"/>
                <w:szCs w:val="20"/>
                <w:shd w:val="clear" w:color="auto" w:fill="auto"/>
                <w:lang w:eastAsia="zh-CN"/>
              </w:rPr>
              <w:t>和</w:t>
            </w:r>
            <w:r>
              <w:rPr>
                <w:rFonts w:hint="default" w:ascii="宋体" w:hAnsi="宋体" w:eastAsia="宋体" w:cs="宋体"/>
                <w:color w:val="auto"/>
                <w:sz w:val="20"/>
                <w:szCs w:val="20"/>
                <w:shd w:val="clear" w:color="auto" w:fill="auto"/>
                <w:lang w:eastAsia="zh-CN"/>
              </w:rPr>
              <w:t>影响相关的</w:t>
            </w:r>
            <w:r>
              <w:rPr>
                <w:rFonts w:hint="eastAsia" w:ascii="宋体" w:hAnsi="宋体" w:eastAsia="宋体" w:cs="宋体"/>
                <w:color w:val="auto"/>
                <w:sz w:val="20"/>
                <w:szCs w:val="20"/>
                <w:shd w:val="clear" w:color="auto" w:fill="auto"/>
                <w:lang w:eastAsia="zh-CN"/>
              </w:rPr>
              <w:t>重要</w:t>
            </w:r>
            <w:r>
              <w:rPr>
                <w:rFonts w:hint="default" w:ascii="宋体" w:hAnsi="宋体" w:eastAsia="宋体" w:cs="宋体"/>
                <w:color w:val="auto"/>
                <w:sz w:val="20"/>
                <w:szCs w:val="20"/>
                <w:shd w:val="clear" w:color="auto" w:fill="auto"/>
                <w:lang w:eastAsia="zh-CN"/>
              </w:rPr>
              <w:t>信息。</w:t>
            </w:r>
          </w:p>
          <w:p>
            <w:pPr>
              <w:keepNext w:val="0"/>
              <w:keepLines w:val="0"/>
              <w:widowControl/>
              <w:suppressLineNumbers w:val="0"/>
              <w:shd w:val="clear" w:color="auto" w:fill="auto"/>
              <w:spacing w:after="0" w:line="240" w:lineRule="auto"/>
              <w:jc w:val="both"/>
              <w:rPr>
                <w:rFonts w:hint="default" w:ascii="宋体" w:hAnsi="宋体" w:eastAsia="宋体" w:cs="宋体"/>
                <w:color w:val="auto"/>
                <w:sz w:val="20"/>
                <w:szCs w:val="20"/>
                <w:shd w:val="clear" w:color="auto" w:fill="auto"/>
                <w:lang w:eastAsia="zh-CN"/>
              </w:rPr>
            </w:pPr>
          </w:p>
          <w:p>
            <w:pPr>
              <w:keepNext w:val="0"/>
              <w:keepLines w:val="0"/>
              <w:widowControl/>
              <w:suppressLineNumbers w:val="0"/>
              <w:shd w:val="clear" w:color="auto" w:fill="auto"/>
              <w:spacing w:after="0" w:line="240" w:lineRule="auto"/>
              <w:jc w:val="both"/>
              <w:rPr>
                <w:rFonts w:hint="default" w:ascii="宋体" w:hAnsi="宋体" w:eastAsia="宋体" w:cs="宋体"/>
                <w:color w:val="auto"/>
                <w:sz w:val="20"/>
                <w:szCs w:val="20"/>
                <w:shd w:val="clear" w:color="auto" w:fill="auto"/>
                <w:lang w:eastAsia="zh-CN"/>
              </w:rPr>
            </w:pPr>
            <w:r>
              <w:rPr>
                <w:rFonts w:hint="default" w:ascii="宋体" w:hAnsi="宋体" w:eastAsia="宋体" w:cs="宋体"/>
                <w:color w:val="auto"/>
                <w:sz w:val="20"/>
                <w:szCs w:val="20"/>
                <w:shd w:val="clear" w:color="auto" w:fill="auto"/>
                <w:lang w:eastAsia="zh-CN"/>
              </w:rPr>
              <w:t>可持续信息的强制披露应当符合重要性原则。</w:t>
            </w:r>
          </w:p>
          <w:p>
            <w:pPr>
              <w:keepNext w:val="0"/>
              <w:keepLines w:val="0"/>
              <w:widowControl/>
              <w:suppressLineNumbers w:val="0"/>
              <w:shd w:val="clear" w:color="auto" w:fill="auto"/>
              <w:spacing w:after="0" w:line="240" w:lineRule="auto"/>
              <w:jc w:val="both"/>
              <w:rPr>
                <w:rFonts w:hint="default" w:ascii="宋体" w:hAnsi="宋体" w:eastAsia="宋体" w:cs="宋体"/>
                <w:color w:val="auto"/>
                <w:sz w:val="20"/>
                <w:szCs w:val="20"/>
                <w:shd w:val="clear" w:color="auto" w:fill="auto"/>
                <w:lang w:eastAsia="zh-CN"/>
              </w:rPr>
            </w:pPr>
          </w:p>
          <w:p>
            <w:pPr>
              <w:keepNext w:val="0"/>
              <w:keepLines w:val="0"/>
              <w:widowControl/>
              <w:suppressLineNumbers w:val="0"/>
              <w:shd w:val="clear" w:color="auto" w:fill="auto"/>
              <w:spacing w:after="0" w:line="240" w:lineRule="auto"/>
              <w:jc w:val="both"/>
              <w:rPr>
                <w:rFonts w:hint="default" w:ascii="宋体" w:hAnsi="宋体" w:eastAsia="宋体" w:cs="宋体"/>
                <w:color w:val="auto"/>
                <w:sz w:val="20"/>
                <w:szCs w:val="20"/>
                <w:shd w:val="clear" w:color="auto" w:fill="auto"/>
                <w:lang w:eastAsia="zh-CN"/>
              </w:rPr>
            </w:pPr>
            <w:r>
              <w:rPr>
                <w:rFonts w:hint="default" w:ascii="宋体" w:hAnsi="宋体" w:eastAsia="宋体" w:cs="宋体"/>
                <w:color w:val="auto"/>
                <w:sz w:val="20"/>
                <w:szCs w:val="20"/>
                <w:shd w:val="clear" w:color="auto" w:fill="auto"/>
                <w:lang w:eastAsia="zh-CN"/>
              </w:rPr>
              <w:t>可持续相关</w:t>
            </w:r>
            <w:r>
              <w:rPr>
                <w:rFonts w:hint="eastAsia" w:ascii="宋体" w:hAnsi="宋体" w:eastAsia="宋体" w:cs="宋体"/>
                <w:color w:val="auto"/>
                <w:sz w:val="20"/>
                <w:szCs w:val="20"/>
                <w:shd w:val="clear" w:color="auto" w:fill="auto"/>
                <w:lang w:eastAsia="zh-CN"/>
              </w:rPr>
              <w:t>风险和机遇</w:t>
            </w:r>
            <w:r>
              <w:rPr>
                <w:rFonts w:hint="default" w:ascii="宋体" w:hAnsi="宋体" w:eastAsia="宋体" w:cs="宋体"/>
                <w:color w:val="auto"/>
                <w:sz w:val="20"/>
                <w:szCs w:val="20"/>
                <w:shd w:val="clear" w:color="auto" w:fill="auto"/>
                <w:lang w:eastAsia="zh-CN"/>
              </w:rPr>
              <w:t>信息的重要性定义与《国际财务报告可持续披露准则第1号》保持一致，聚焦于对现有及潜在投资者</w:t>
            </w:r>
            <w:r>
              <w:rPr>
                <w:rFonts w:hint="eastAsia" w:ascii="宋体" w:hAnsi="宋体" w:cs="宋体"/>
                <w:color w:val="auto"/>
                <w:sz w:val="20"/>
                <w:szCs w:val="20"/>
                <w:shd w:val="clear" w:color="auto" w:fill="auto"/>
                <w:lang w:eastAsia="zh-CN"/>
              </w:rPr>
              <w:t>和</w:t>
            </w:r>
            <w:r>
              <w:rPr>
                <w:rFonts w:hint="default" w:ascii="宋体" w:hAnsi="宋体" w:eastAsia="宋体" w:cs="宋体"/>
                <w:color w:val="auto"/>
                <w:sz w:val="20"/>
                <w:szCs w:val="20"/>
                <w:shd w:val="clear" w:color="auto" w:fill="auto"/>
                <w:lang w:eastAsia="zh-CN"/>
              </w:rPr>
              <w:t>债权人的决策有用性。该定义</w:t>
            </w:r>
            <w:r>
              <w:rPr>
                <w:rFonts w:hint="eastAsia" w:ascii="宋体" w:hAnsi="宋体" w:eastAsia="宋体" w:cs="宋体"/>
                <w:color w:val="auto"/>
                <w:sz w:val="20"/>
                <w:szCs w:val="20"/>
                <w:shd w:val="clear" w:color="auto" w:fill="auto"/>
                <w:lang w:eastAsia="zh-CN"/>
              </w:rPr>
              <w:t>被用作要求</w:t>
            </w:r>
            <w:r>
              <w:rPr>
                <w:rFonts w:hint="default" w:ascii="宋体" w:hAnsi="宋体" w:eastAsia="宋体" w:cs="宋体"/>
                <w:color w:val="auto"/>
                <w:sz w:val="20"/>
                <w:szCs w:val="20"/>
                <w:shd w:val="clear" w:color="auto" w:fill="auto"/>
                <w:lang w:eastAsia="zh-CN"/>
              </w:rPr>
              <w:t>投资者核心信息得以清晰呈现，不被其他信息所掩盖</w:t>
            </w:r>
            <w:r>
              <w:rPr>
                <w:rFonts w:hint="eastAsia" w:ascii="宋体" w:hAnsi="宋体" w:eastAsia="宋体" w:cs="宋体"/>
                <w:color w:val="auto"/>
                <w:sz w:val="20"/>
                <w:szCs w:val="20"/>
                <w:shd w:val="clear" w:color="auto" w:fill="auto"/>
                <w:lang w:eastAsia="zh-CN"/>
              </w:rPr>
              <w:t>的基础</w:t>
            </w:r>
            <w:r>
              <w:rPr>
                <w:rFonts w:hint="default" w:ascii="宋体" w:hAnsi="宋体" w:eastAsia="宋体" w:cs="宋体"/>
                <w:color w:val="auto"/>
                <w:sz w:val="20"/>
                <w:szCs w:val="20"/>
                <w:shd w:val="clear" w:color="auto" w:fill="auto"/>
                <w:lang w:eastAsia="zh-CN"/>
              </w:rPr>
              <w:t>。</w:t>
            </w:r>
          </w:p>
          <w:p>
            <w:pPr>
              <w:keepNext w:val="0"/>
              <w:keepLines w:val="0"/>
              <w:widowControl/>
              <w:suppressLineNumbers w:val="0"/>
              <w:shd w:val="clear" w:color="auto" w:fill="auto"/>
              <w:spacing w:after="0" w:line="240" w:lineRule="auto"/>
              <w:jc w:val="both"/>
              <w:rPr>
                <w:rFonts w:hint="default" w:ascii="宋体" w:hAnsi="宋体" w:eastAsia="宋体" w:cs="宋体"/>
                <w:color w:val="auto"/>
                <w:sz w:val="20"/>
                <w:szCs w:val="20"/>
                <w:shd w:val="clear" w:color="auto" w:fill="auto"/>
                <w:lang w:eastAsia="zh-CN"/>
              </w:rPr>
            </w:pPr>
          </w:p>
          <w:p>
            <w:pPr>
              <w:keepNext w:val="0"/>
              <w:keepLines w:val="0"/>
              <w:widowControl/>
              <w:suppressLineNumbers w:val="0"/>
              <w:shd w:val="clear" w:color="auto" w:fill="auto"/>
              <w:spacing w:after="0" w:line="240" w:lineRule="auto"/>
              <w:jc w:val="both"/>
              <w:rPr>
                <w:rFonts w:hint="eastAsia" w:ascii="宋体" w:hAnsi="宋体" w:eastAsia="宋体" w:cs="宋体"/>
                <w:color w:val="auto"/>
                <w:sz w:val="20"/>
                <w:szCs w:val="20"/>
                <w:shd w:val="clear" w:color="auto" w:fill="auto"/>
                <w:lang w:eastAsia="zh-CN"/>
              </w:rPr>
            </w:pPr>
            <w:r>
              <w:rPr>
                <w:rFonts w:hint="eastAsia" w:ascii="宋体" w:hAnsi="宋体" w:eastAsia="宋体" w:cs="宋体"/>
                <w:color w:val="auto"/>
                <w:sz w:val="20"/>
                <w:szCs w:val="20"/>
                <w:shd w:val="clear" w:color="auto" w:fill="auto"/>
              </w:rPr>
              <w:t>可持续信息的基本使用者</w:t>
            </w:r>
            <w:r>
              <w:rPr>
                <w:rFonts w:hint="eastAsia" w:ascii="宋体" w:hAnsi="宋体" w:eastAsia="宋体" w:cs="宋体"/>
                <w:color w:val="auto"/>
                <w:sz w:val="20"/>
                <w:szCs w:val="20"/>
                <w:shd w:val="clear" w:color="auto" w:fill="auto"/>
                <w:lang w:eastAsia="zh-CN"/>
              </w:rPr>
              <w:t>被定义为</w:t>
            </w:r>
            <w:r>
              <w:rPr>
                <w:rFonts w:hint="default" w:ascii="宋体" w:hAnsi="宋体" w:eastAsia="宋体" w:cs="宋体"/>
                <w:color w:val="auto"/>
                <w:sz w:val="20"/>
                <w:szCs w:val="20"/>
                <w:shd w:val="clear" w:color="auto" w:fill="auto"/>
                <w:lang w:eastAsia="zh-CN"/>
              </w:rPr>
              <w:t>投资者</w:t>
            </w:r>
            <w:r>
              <w:rPr>
                <w:rFonts w:hint="eastAsia" w:ascii="宋体" w:hAnsi="宋体" w:cs="宋体"/>
                <w:color w:val="auto"/>
                <w:sz w:val="20"/>
                <w:szCs w:val="20"/>
                <w:shd w:val="clear" w:color="auto" w:fill="auto"/>
                <w:lang w:eastAsia="zh-CN"/>
              </w:rPr>
              <w:t>和</w:t>
            </w:r>
            <w:r>
              <w:rPr>
                <w:rFonts w:hint="default" w:ascii="宋体" w:hAnsi="宋体" w:eastAsia="宋体" w:cs="宋体"/>
                <w:color w:val="auto"/>
                <w:sz w:val="20"/>
                <w:szCs w:val="20"/>
                <w:shd w:val="clear" w:color="auto" w:fill="auto"/>
                <w:lang w:eastAsia="zh-CN"/>
              </w:rPr>
              <w:t>债权人</w:t>
            </w:r>
            <w:r>
              <w:rPr>
                <w:rFonts w:hint="eastAsia" w:ascii="宋体" w:hAnsi="宋体" w:eastAsia="宋体" w:cs="宋体"/>
                <w:color w:val="auto"/>
                <w:sz w:val="20"/>
                <w:szCs w:val="20"/>
                <w:shd w:val="clear" w:color="auto" w:fill="auto"/>
                <w:lang w:eastAsia="zh-CN"/>
              </w:rPr>
              <w:t>。</w:t>
            </w:r>
          </w:p>
          <w:p>
            <w:pPr>
              <w:keepNext w:val="0"/>
              <w:keepLines w:val="0"/>
              <w:widowControl/>
              <w:suppressLineNumbers w:val="0"/>
              <w:shd w:val="clear" w:color="auto" w:fill="auto"/>
              <w:spacing w:after="0" w:line="240" w:lineRule="auto"/>
              <w:jc w:val="both"/>
              <w:rPr>
                <w:rFonts w:hint="eastAsia" w:ascii="宋体" w:hAnsi="宋体" w:eastAsia="宋体" w:cs="宋体"/>
                <w:color w:val="auto"/>
                <w:sz w:val="20"/>
                <w:szCs w:val="20"/>
                <w:shd w:val="clear" w:color="auto" w:fill="auto"/>
                <w:lang w:eastAsia="zh-CN"/>
              </w:rPr>
            </w:pPr>
          </w:p>
          <w:p>
            <w:pPr>
              <w:keepNext w:val="0"/>
              <w:keepLines w:val="0"/>
              <w:widowControl/>
              <w:suppressLineNumbers w:val="0"/>
              <w:shd w:val="clear" w:color="auto" w:fill="auto"/>
              <w:spacing w:after="0" w:line="240" w:lineRule="auto"/>
              <w:jc w:val="both"/>
              <w:rPr>
                <w:rFonts w:hint="eastAsia" w:ascii="宋体" w:hAnsi="宋体" w:eastAsia="宋体" w:cs="宋体"/>
                <w:color w:val="auto"/>
                <w:sz w:val="20"/>
                <w:szCs w:val="20"/>
                <w:shd w:val="clear" w:color="auto" w:fill="auto"/>
                <w:lang w:eastAsia="zh-CN"/>
              </w:rPr>
            </w:pPr>
            <w:r>
              <w:rPr>
                <w:rFonts w:hint="eastAsia" w:ascii="宋体" w:hAnsi="宋体" w:eastAsia="宋体" w:cs="宋体"/>
                <w:color w:val="auto"/>
                <w:sz w:val="20"/>
                <w:szCs w:val="20"/>
                <w:shd w:val="clear" w:color="auto" w:fill="auto"/>
                <w:lang w:val="en-US" w:eastAsia="zh-CN"/>
              </w:rPr>
              <w:t>企业不得因提供额外非重要信息而模糊处理重要信息，也不得因提供影响信息而模糊处理可持续风险和机遇信息。</w:t>
            </w:r>
            <w:r>
              <w:rPr>
                <w:rFonts w:hint="eastAsia" w:ascii="宋体" w:hAnsi="宋体" w:eastAsia="宋体" w:cs="宋体"/>
                <w:color w:val="auto"/>
                <w:sz w:val="20"/>
                <w:szCs w:val="20"/>
                <w:shd w:val="clear" w:color="auto" w:fill="auto"/>
                <w:lang w:eastAsia="zh-CN"/>
              </w:rPr>
              <w:t>披露的可持续影响信息不应掩盖或者模糊其披露的可持续风险和机遇信息，两者应当可区分。</w:t>
            </w:r>
          </w:p>
          <w:p>
            <w:pPr>
              <w:keepNext w:val="0"/>
              <w:keepLines w:val="0"/>
              <w:widowControl/>
              <w:suppressLineNumbers w:val="0"/>
              <w:shd w:val="clear" w:color="auto" w:fill="auto"/>
              <w:spacing w:after="0" w:line="240" w:lineRule="auto"/>
              <w:jc w:val="both"/>
              <w:rPr>
                <w:rFonts w:hint="default" w:ascii="宋体" w:hAnsi="宋体" w:eastAsia="宋体" w:cs="宋体"/>
                <w:color w:val="auto"/>
                <w:sz w:val="20"/>
                <w:szCs w:val="20"/>
                <w:shd w:val="clear" w:color="auto" w:fill="auto"/>
                <w:lang w:eastAsia="zh-CN"/>
              </w:rPr>
            </w:pPr>
          </w:p>
          <w:p>
            <w:pPr>
              <w:keepNext w:val="0"/>
              <w:keepLines w:val="0"/>
              <w:widowControl/>
              <w:suppressLineNumbers w:val="0"/>
              <w:shd w:val="clear" w:color="auto" w:fill="auto"/>
              <w:spacing w:after="0" w:line="240" w:lineRule="auto"/>
              <w:jc w:val="both"/>
              <w:rPr>
                <w:rFonts w:hint="eastAsia" w:ascii="宋体" w:hAnsi="宋体" w:eastAsia="宋体" w:cs="宋体"/>
                <w:color w:val="auto"/>
                <w:sz w:val="20"/>
                <w:szCs w:val="20"/>
                <w:shd w:val="clear" w:color="auto" w:fill="auto"/>
                <w:lang w:eastAsia="zh-CN"/>
              </w:rPr>
            </w:pPr>
            <w:r>
              <w:rPr>
                <w:rFonts w:hint="eastAsia" w:ascii="宋体" w:hAnsi="宋体" w:eastAsia="宋体" w:cs="宋体"/>
                <w:color w:val="auto"/>
                <w:sz w:val="20"/>
                <w:szCs w:val="20"/>
                <w:shd w:val="clear" w:color="auto" w:fill="auto"/>
                <w:lang w:eastAsia="zh-CN"/>
              </w:rPr>
              <w:t>关于可持续发展影响的重要信息，需针对其他利益相关方，基于其规模、范围以及发生的可能性进行评估。</w:t>
            </w:r>
          </w:p>
        </w:tc>
      </w:tr>
      <w:tr>
        <w:tblPrEx>
          <w:tblBorders>
            <w:top w:val="single" w:color="AEAFB0" w:sz="4" w:space="0"/>
            <w:left w:val="none" w:color="auto" w:sz="0" w:space="0"/>
            <w:bottom w:val="single" w:color="AEAFB0" w:sz="4" w:space="0"/>
            <w:right w:val="none" w:color="auto" w:sz="0" w:space="0"/>
            <w:insideH w:val="none" w:color="auto" w:sz="0" w:space="0"/>
            <w:insideV w:val="none" w:color="auto" w:sz="0" w:space="0"/>
          </w:tblBorders>
          <w:tblCellMar>
            <w:top w:w="101" w:type="dxa"/>
            <w:left w:w="144" w:type="dxa"/>
            <w:bottom w:w="58" w:type="dxa"/>
            <w:right w:w="288" w:type="dxa"/>
          </w:tblCellMar>
        </w:tblPrEx>
        <w:trPr>
          <w:trHeight w:val="300" w:hRule="atLeast"/>
        </w:trPr>
        <w:tc>
          <w:tcPr>
            <w:tcW w:w="3350" w:type="dxa"/>
            <w:tcBorders>
              <w:top w:val="single" w:color="AEAFB0" w:sz="4" w:space="0"/>
              <w:bottom w:val="single" w:color="AEAFB0" w:sz="4" w:space="0"/>
            </w:tcBorders>
            <w:shd w:val="clear" w:color="auto" w:fill="CEEBF8"/>
            <w:noWrap w:val="0"/>
            <w:vAlign w:val="top"/>
          </w:tcPr>
          <w:p>
            <w:pPr>
              <w:spacing w:after="0" w:line="240" w:lineRule="auto"/>
              <w:ind w:left="-4" w:right="-90"/>
              <w:jc w:val="right"/>
              <w:rPr>
                <w:rFonts w:ascii="Arial" w:hAnsi="Arial" w:cs="Arial"/>
                <w:b/>
                <w:bCs/>
                <w:sz w:val="20"/>
                <w:szCs w:val="20"/>
              </w:rPr>
            </w:pPr>
            <w:r>
              <w:rPr>
                <w:rFonts w:ascii="宋体" w:hAnsi="宋体" w:eastAsia="宋体" w:cs="宋体"/>
                <w:b/>
                <w:bCs/>
                <w:sz w:val="20"/>
                <w:szCs w:val="20"/>
              </w:rPr>
              <w:t>时间、</w:t>
            </w:r>
            <w:r>
              <w:rPr>
                <w:rFonts w:hint="eastAsia" w:ascii="宋体" w:hAnsi="宋体" w:cs="宋体"/>
                <w:b/>
                <w:bCs/>
                <w:sz w:val="20"/>
                <w:szCs w:val="20"/>
                <w:lang w:eastAsia="zh-CN"/>
              </w:rPr>
              <w:t>位置</w:t>
            </w:r>
            <w:r>
              <w:rPr>
                <w:rFonts w:ascii="宋体" w:hAnsi="宋体" w:eastAsia="宋体" w:cs="宋体"/>
                <w:b/>
                <w:bCs/>
                <w:sz w:val="20"/>
                <w:szCs w:val="20"/>
              </w:rPr>
              <w:t>和报告</w:t>
            </w:r>
            <w:r>
              <w:rPr>
                <w:rFonts w:hint="eastAsia" w:ascii="宋体" w:hAnsi="宋体" w:cs="宋体"/>
                <w:b/>
                <w:bCs/>
                <w:sz w:val="20"/>
                <w:szCs w:val="20"/>
                <w:lang w:val="en-US" w:eastAsia="zh-CN"/>
              </w:rPr>
              <w:t>主</w:t>
            </w:r>
            <w:r>
              <w:rPr>
                <w:rFonts w:ascii="宋体" w:hAnsi="宋体" w:eastAsia="宋体" w:cs="宋体"/>
                <w:b/>
                <w:bCs/>
                <w:sz w:val="20"/>
                <w:szCs w:val="20"/>
              </w:rPr>
              <w:t>体</w:t>
            </w:r>
          </w:p>
          <w:p>
            <w:pPr>
              <w:spacing w:after="0" w:line="240" w:lineRule="auto"/>
              <w:jc w:val="right"/>
              <w:rPr>
                <w:rFonts w:ascii="Arial" w:hAnsi="Arial" w:cs="Arial"/>
                <w:b/>
                <w:bCs/>
                <w:sz w:val="20"/>
                <w:szCs w:val="20"/>
              </w:rPr>
            </w:pPr>
          </w:p>
        </w:tc>
        <w:tc>
          <w:tcPr>
            <w:tcW w:w="6910" w:type="dxa"/>
            <w:gridSpan w:val="3"/>
            <w:tcBorders>
              <w:top w:val="single" w:color="AEAFB0" w:sz="4" w:space="0"/>
              <w:bottom w:val="single" w:color="AEAFB0" w:sz="4" w:space="0"/>
            </w:tcBorders>
            <w:noWrap w:val="0"/>
            <w:vAlign w:val="top"/>
          </w:tcPr>
          <w:p>
            <w:pPr>
              <w:spacing w:after="0" w:line="240" w:lineRule="auto"/>
              <w:jc w:val="both"/>
              <w:rPr>
                <w:rFonts w:ascii="宋体" w:hAnsi="宋体" w:eastAsia="宋体" w:cs="宋体"/>
                <w:color w:val="auto"/>
                <w:sz w:val="20"/>
                <w:szCs w:val="20"/>
                <w:shd w:val="clear" w:color="auto" w:fill="auto"/>
              </w:rPr>
            </w:pPr>
            <w:r>
              <w:rPr>
                <w:rFonts w:hint="eastAsia" w:ascii="宋体" w:hAnsi="宋体" w:eastAsia="宋体" w:cs="宋体"/>
                <w:color w:val="auto"/>
                <w:sz w:val="20"/>
                <w:szCs w:val="20"/>
                <w:shd w:val="clear" w:color="auto" w:fill="auto"/>
              </w:rPr>
              <w:t>报告时</w:t>
            </w:r>
            <w:r>
              <w:rPr>
                <w:rFonts w:hint="eastAsia" w:ascii="宋体" w:hAnsi="宋体" w:cs="宋体"/>
                <w:color w:val="auto"/>
                <w:sz w:val="20"/>
                <w:szCs w:val="20"/>
                <w:shd w:val="clear" w:color="auto" w:fill="auto"/>
                <w:lang w:eastAsia="zh-CN"/>
              </w:rPr>
              <w:t>间</w:t>
            </w:r>
            <w:r>
              <w:rPr>
                <w:rFonts w:hint="eastAsia" w:ascii="宋体" w:hAnsi="宋体" w:eastAsia="宋体" w:cs="宋体"/>
                <w:color w:val="auto"/>
                <w:sz w:val="20"/>
                <w:szCs w:val="20"/>
                <w:shd w:val="clear" w:color="auto" w:fill="auto"/>
              </w:rPr>
              <w:t>要求与ISSB</w:t>
            </w:r>
            <w:r>
              <w:rPr>
                <w:rFonts w:hint="eastAsia" w:ascii="宋体" w:hAnsi="宋体" w:cs="宋体"/>
                <w:color w:val="auto"/>
                <w:sz w:val="20"/>
                <w:szCs w:val="20"/>
                <w:shd w:val="clear" w:color="auto" w:fill="auto"/>
                <w:lang w:eastAsia="zh-CN"/>
              </w:rPr>
              <w:t>准则</w:t>
            </w:r>
            <w:r>
              <w:rPr>
                <w:rFonts w:hint="eastAsia" w:ascii="宋体" w:hAnsi="宋体" w:eastAsia="宋体" w:cs="宋体"/>
                <w:color w:val="auto"/>
                <w:sz w:val="20"/>
                <w:szCs w:val="20"/>
                <w:shd w:val="clear" w:color="auto" w:fill="auto"/>
              </w:rPr>
              <w:t>保持一致，即与财务报表发布时</w:t>
            </w:r>
            <w:r>
              <w:rPr>
                <w:rFonts w:hint="eastAsia" w:ascii="宋体" w:hAnsi="宋体" w:cs="宋体"/>
                <w:color w:val="auto"/>
                <w:sz w:val="20"/>
                <w:szCs w:val="20"/>
                <w:shd w:val="clear" w:color="auto" w:fill="auto"/>
                <w:lang w:eastAsia="zh-CN"/>
              </w:rPr>
              <w:t>间</w:t>
            </w:r>
            <w:r>
              <w:rPr>
                <w:rFonts w:hint="eastAsia" w:ascii="宋体" w:hAnsi="宋体" w:eastAsia="宋体" w:cs="宋体"/>
                <w:color w:val="auto"/>
                <w:sz w:val="20"/>
                <w:szCs w:val="20"/>
                <w:shd w:val="clear" w:color="auto" w:fill="auto"/>
              </w:rPr>
              <w:t>保持一致，除非监管</w:t>
            </w:r>
            <w:r>
              <w:rPr>
                <w:rFonts w:hint="eastAsia" w:ascii="宋体" w:hAnsi="宋体" w:cs="宋体"/>
                <w:color w:val="auto"/>
                <w:sz w:val="20"/>
                <w:szCs w:val="20"/>
                <w:shd w:val="clear" w:color="auto" w:fill="auto"/>
                <w:lang w:eastAsia="zh-CN"/>
              </w:rPr>
              <w:t>部门</w:t>
            </w:r>
            <w:r>
              <w:rPr>
                <w:rFonts w:hint="eastAsia" w:ascii="宋体" w:hAnsi="宋体" w:eastAsia="宋体" w:cs="宋体"/>
                <w:color w:val="auto"/>
                <w:sz w:val="20"/>
                <w:szCs w:val="20"/>
                <w:shd w:val="clear" w:color="auto" w:fill="auto"/>
              </w:rPr>
              <w:t>另行规定</w:t>
            </w:r>
            <w:r>
              <w:rPr>
                <w:rFonts w:ascii="宋体" w:hAnsi="宋体" w:eastAsia="宋体" w:cs="宋体"/>
                <w:color w:val="auto"/>
                <w:sz w:val="20"/>
                <w:szCs w:val="20"/>
                <w:shd w:val="clear" w:color="auto" w:fill="auto"/>
              </w:rPr>
              <w:t>。</w:t>
            </w:r>
          </w:p>
          <w:p>
            <w:pPr>
              <w:spacing w:after="0" w:line="240" w:lineRule="auto"/>
              <w:jc w:val="both"/>
              <w:rPr>
                <w:rFonts w:ascii="宋体" w:hAnsi="宋体" w:eastAsia="宋体" w:cs="宋体"/>
                <w:color w:val="auto"/>
                <w:sz w:val="20"/>
                <w:szCs w:val="20"/>
                <w:shd w:val="clear" w:color="auto" w:fill="auto"/>
              </w:rPr>
            </w:pPr>
          </w:p>
          <w:p>
            <w:pPr>
              <w:spacing w:after="0" w:line="240" w:lineRule="auto"/>
              <w:jc w:val="both"/>
              <w:rPr>
                <w:rFonts w:ascii="Arial" w:hAnsi="Arial" w:cs="Arial"/>
                <w:color w:val="auto"/>
                <w:sz w:val="20"/>
                <w:szCs w:val="20"/>
                <w:shd w:val="clear" w:color="auto" w:fill="auto"/>
              </w:rPr>
            </w:pPr>
            <w:r>
              <w:rPr>
                <w:rFonts w:hint="eastAsia" w:ascii="宋体" w:hAnsi="宋体" w:cs="宋体"/>
                <w:color w:val="auto"/>
                <w:sz w:val="20"/>
                <w:szCs w:val="20"/>
                <w:shd w:val="clear" w:color="auto" w:fill="auto"/>
                <w:lang w:eastAsia="zh-CN"/>
              </w:rPr>
              <w:t>《</w:t>
            </w:r>
            <w:r>
              <w:rPr>
                <w:rFonts w:hint="eastAsia" w:ascii="宋体" w:hAnsi="宋体" w:eastAsia="宋体" w:cs="宋体"/>
                <w:color w:val="auto"/>
                <w:sz w:val="20"/>
                <w:szCs w:val="20"/>
                <w:shd w:val="clear" w:color="auto" w:fill="auto"/>
              </w:rPr>
              <w:t>基本准则》</w:t>
            </w:r>
            <w:r>
              <w:rPr>
                <w:rFonts w:hint="eastAsia" w:ascii="宋体" w:hAnsi="宋体" w:cs="宋体"/>
                <w:color w:val="auto"/>
                <w:sz w:val="20"/>
                <w:szCs w:val="20"/>
                <w:shd w:val="clear" w:color="auto" w:fill="auto"/>
                <w:lang w:eastAsia="zh-CN"/>
              </w:rPr>
              <w:t>未明确</w:t>
            </w:r>
            <w:r>
              <w:rPr>
                <w:rFonts w:hint="eastAsia" w:ascii="宋体" w:hAnsi="宋体" w:eastAsia="宋体" w:cs="宋体"/>
                <w:color w:val="auto"/>
                <w:sz w:val="20"/>
                <w:szCs w:val="20"/>
                <w:shd w:val="clear" w:color="auto" w:fill="auto"/>
              </w:rPr>
              <w:t>可持续披露的位置</w:t>
            </w:r>
            <w:r>
              <w:rPr>
                <w:rFonts w:ascii="宋体" w:hAnsi="宋体" w:eastAsia="宋体" w:cs="宋体"/>
                <w:color w:val="auto"/>
                <w:sz w:val="20"/>
                <w:szCs w:val="20"/>
                <w:shd w:val="clear" w:color="auto" w:fill="auto"/>
              </w:rPr>
              <w:t>。</w:t>
            </w:r>
          </w:p>
          <w:p>
            <w:pPr>
              <w:spacing w:after="0" w:line="240" w:lineRule="auto"/>
              <w:jc w:val="both"/>
              <w:rPr>
                <w:rFonts w:ascii="Arial" w:hAnsi="Arial" w:cs="Arial"/>
                <w:color w:val="auto"/>
                <w:sz w:val="20"/>
                <w:szCs w:val="20"/>
                <w:shd w:val="clear" w:color="auto" w:fill="auto"/>
              </w:rPr>
            </w:pPr>
          </w:p>
          <w:p>
            <w:pPr>
              <w:spacing w:after="0" w:line="240" w:lineRule="auto"/>
              <w:jc w:val="both"/>
              <w:rPr>
                <w:rFonts w:ascii="Arial" w:hAnsi="Arial" w:cs="Arial"/>
                <w:color w:val="auto"/>
                <w:sz w:val="20"/>
                <w:szCs w:val="20"/>
                <w:shd w:val="clear" w:color="auto" w:fill="auto"/>
              </w:rPr>
            </w:pPr>
            <w:r>
              <w:rPr>
                <w:rFonts w:ascii="宋体" w:hAnsi="宋体" w:eastAsia="宋体" w:cs="宋体"/>
                <w:color w:val="auto"/>
                <w:sz w:val="20"/>
                <w:szCs w:val="20"/>
                <w:shd w:val="clear" w:color="auto" w:fill="auto"/>
              </w:rPr>
              <w:t>报告</w:t>
            </w:r>
            <w:r>
              <w:rPr>
                <w:rFonts w:hint="eastAsia" w:ascii="宋体" w:hAnsi="宋体" w:cs="宋体"/>
                <w:color w:val="auto"/>
                <w:sz w:val="20"/>
                <w:szCs w:val="20"/>
                <w:shd w:val="clear" w:color="auto" w:fill="auto"/>
                <w:lang w:eastAsia="zh-CN"/>
              </w:rPr>
              <w:t>主</w:t>
            </w:r>
            <w:r>
              <w:rPr>
                <w:rFonts w:ascii="宋体" w:hAnsi="宋体" w:eastAsia="宋体" w:cs="宋体"/>
                <w:color w:val="auto"/>
                <w:sz w:val="20"/>
                <w:szCs w:val="20"/>
                <w:shd w:val="clear" w:color="auto" w:fill="auto"/>
              </w:rPr>
              <w:t>体的要求与</w:t>
            </w:r>
            <w:r>
              <w:rPr>
                <w:rFonts w:hint="eastAsia" w:ascii="宋体" w:hAnsi="宋体" w:cs="宋体"/>
                <w:color w:val="auto"/>
                <w:sz w:val="20"/>
                <w:szCs w:val="20"/>
                <w:shd w:val="clear" w:color="auto" w:fill="auto"/>
                <w:lang w:eastAsia="zh-CN"/>
              </w:rPr>
              <w:t>ISSB准则</w:t>
            </w:r>
            <w:r>
              <w:rPr>
                <w:rFonts w:ascii="宋体" w:hAnsi="宋体" w:eastAsia="宋体" w:cs="宋体"/>
                <w:color w:val="auto"/>
                <w:sz w:val="20"/>
                <w:szCs w:val="20"/>
                <w:shd w:val="clear" w:color="auto" w:fill="auto"/>
              </w:rPr>
              <w:t>保持一致。</w:t>
            </w:r>
          </w:p>
        </w:tc>
      </w:tr>
      <w:tr>
        <w:tblPrEx>
          <w:tblBorders>
            <w:top w:val="single" w:color="AEAFB0" w:sz="4" w:space="0"/>
            <w:left w:val="none" w:color="auto" w:sz="0" w:space="0"/>
            <w:bottom w:val="single" w:color="AEAFB0" w:sz="4" w:space="0"/>
            <w:right w:val="none" w:color="auto" w:sz="0" w:space="0"/>
            <w:insideH w:val="none" w:color="auto" w:sz="0" w:space="0"/>
            <w:insideV w:val="none" w:color="auto" w:sz="0" w:space="0"/>
          </w:tblBorders>
          <w:tblCellMar>
            <w:top w:w="101" w:type="dxa"/>
            <w:left w:w="144" w:type="dxa"/>
            <w:bottom w:w="58" w:type="dxa"/>
            <w:right w:w="288" w:type="dxa"/>
          </w:tblCellMar>
        </w:tblPrEx>
        <w:tc>
          <w:tcPr>
            <w:tcW w:w="3350" w:type="dxa"/>
            <w:shd w:val="clear" w:color="auto" w:fill="CEEBF8"/>
            <w:noWrap w:val="0"/>
            <w:vAlign w:val="top"/>
          </w:tcPr>
          <w:p>
            <w:pPr>
              <w:spacing w:after="0" w:line="240" w:lineRule="auto"/>
              <w:ind w:left="-4" w:right="-90"/>
              <w:jc w:val="right"/>
              <w:rPr>
                <w:rFonts w:hint="eastAsia" w:ascii="Arial" w:hAnsi="Arial" w:eastAsia="宋体" w:cs="Arial"/>
                <w:b/>
                <w:bCs/>
                <w:sz w:val="20"/>
                <w:szCs w:val="20"/>
                <w:lang w:eastAsia="zh-CN"/>
              </w:rPr>
            </w:pPr>
            <w:r>
              <w:rPr>
                <w:rFonts w:hint="eastAsia" w:ascii="宋体" w:hAnsi="宋体" w:eastAsia="宋体" w:cs="宋体"/>
                <w:b/>
                <w:bCs/>
                <w:sz w:val="20"/>
                <w:szCs w:val="20"/>
              </w:rPr>
              <w:t>过渡</w:t>
            </w:r>
            <w:r>
              <w:rPr>
                <w:rFonts w:hint="eastAsia" w:ascii="宋体" w:hAnsi="宋体" w:cs="宋体"/>
                <w:b/>
                <w:bCs/>
                <w:sz w:val="20"/>
                <w:szCs w:val="20"/>
                <w:lang w:val="en-US" w:eastAsia="zh-CN"/>
              </w:rPr>
              <w:t>缓释措施</w:t>
            </w:r>
            <w:r>
              <w:rPr>
                <w:rFonts w:hint="eastAsia" w:ascii="宋体" w:hAnsi="宋体" w:eastAsia="宋体" w:cs="宋体"/>
                <w:b/>
                <w:bCs/>
                <w:sz w:val="20"/>
                <w:szCs w:val="20"/>
              </w:rPr>
              <w:t>的</w:t>
            </w:r>
            <w:r>
              <w:rPr>
                <w:rFonts w:hint="eastAsia" w:ascii="宋体" w:hAnsi="宋体" w:cs="宋体"/>
                <w:b/>
                <w:bCs/>
                <w:sz w:val="20"/>
                <w:szCs w:val="20"/>
                <w:lang w:eastAsia="zh-CN"/>
              </w:rPr>
              <w:t>延期</w:t>
            </w:r>
          </w:p>
        </w:tc>
        <w:tc>
          <w:tcPr>
            <w:tcW w:w="6910" w:type="dxa"/>
            <w:gridSpan w:val="3"/>
            <w:noWrap w:val="0"/>
            <w:vAlign w:val="top"/>
          </w:tcPr>
          <w:p>
            <w:pPr>
              <w:spacing w:after="0" w:line="240" w:lineRule="auto"/>
              <w:ind w:left="-4" w:right="-90"/>
              <w:jc w:val="both"/>
              <w:rPr>
                <w:rFonts w:ascii="Arial" w:hAnsi="Arial" w:cs="Arial"/>
                <w:color w:val="auto"/>
                <w:sz w:val="20"/>
                <w:szCs w:val="20"/>
                <w:shd w:val="clear" w:color="auto" w:fill="auto"/>
              </w:rPr>
            </w:pPr>
            <w:r>
              <w:rPr>
                <w:rFonts w:hint="eastAsia" w:ascii="Arial" w:hAnsi="Arial" w:cs="Arial"/>
                <w:color w:val="auto"/>
                <w:sz w:val="20"/>
                <w:szCs w:val="20"/>
                <w:shd w:val="clear" w:color="auto" w:fill="auto"/>
              </w:rPr>
              <w:t>《基本准则》未</w:t>
            </w:r>
            <w:r>
              <w:rPr>
                <w:rFonts w:hint="eastAsia" w:ascii="Arial" w:hAnsi="Arial" w:cs="Arial"/>
                <w:color w:val="auto"/>
                <w:sz w:val="20"/>
                <w:szCs w:val="20"/>
                <w:shd w:val="clear" w:color="auto" w:fill="auto"/>
                <w:lang w:eastAsia="zh-CN"/>
              </w:rPr>
              <w:t>提供</w:t>
            </w:r>
            <w:r>
              <w:rPr>
                <w:rFonts w:hint="eastAsia" w:ascii="Arial" w:hAnsi="Arial" w:cs="Arial"/>
                <w:color w:val="auto"/>
                <w:sz w:val="20"/>
                <w:szCs w:val="20"/>
                <w:shd w:val="clear" w:color="auto" w:fill="auto"/>
              </w:rPr>
              <w:t>任何过渡</w:t>
            </w:r>
            <w:r>
              <w:rPr>
                <w:rFonts w:hint="eastAsia" w:ascii="Arial" w:hAnsi="Arial" w:cs="Arial"/>
                <w:color w:val="auto"/>
                <w:sz w:val="20"/>
                <w:szCs w:val="20"/>
                <w:shd w:val="clear" w:color="auto" w:fill="auto"/>
                <w:lang w:eastAsia="zh-CN"/>
              </w:rPr>
              <w:t>缓释措施的</w:t>
            </w:r>
            <w:r>
              <w:rPr>
                <w:rFonts w:hint="eastAsia" w:ascii="Arial" w:hAnsi="Arial" w:cs="Arial"/>
                <w:color w:val="auto"/>
                <w:sz w:val="20"/>
                <w:szCs w:val="20"/>
                <w:shd w:val="clear" w:color="auto" w:fill="auto"/>
              </w:rPr>
              <w:t>安排。</w:t>
            </w:r>
          </w:p>
        </w:tc>
      </w:tr>
      <w:tr>
        <w:tblPrEx>
          <w:tblBorders>
            <w:top w:val="single" w:color="AEAFB0" w:sz="4" w:space="0"/>
            <w:left w:val="none" w:color="auto" w:sz="0" w:space="0"/>
            <w:bottom w:val="single" w:color="AEAFB0" w:sz="4" w:space="0"/>
            <w:right w:val="none" w:color="auto" w:sz="0" w:space="0"/>
            <w:insideH w:val="none" w:color="auto" w:sz="0" w:space="0"/>
            <w:insideV w:val="none" w:color="auto" w:sz="0" w:space="0"/>
          </w:tblBorders>
          <w:tblCellMar>
            <w:top w:w="101" w:type="dxa"/>
            <w:left w:w="144" w:type="dxa"/>
            <w:bottom w:w="58" w:type="dxa"/>
            <w:right w:w="288" w:type="dxa"/>
          </w:tblCellMar>
        </w:tblPrEx>
        <w:tc>
          <w:tcPr>
            <w:tcW w:w="3350" w:type="dxa"/>
            <w:tcBorders>
              <w:top w:val="single" w:color="AEAFB0" w:sz="4" w:space="0"/>
              <w:bottom w:val="single" w:color="AEAFB0" w:sz="4" w:space="0"/>
            </w:tcBorders>
            <w:shd w:val="clear" w:color="auto" w:fill="CEEBF8"/>
            <w:noWrap w:val="0"/>
            <w:vAlign w:val="top"/>
          </w:tcPr>
          <w:p>
            <w:pPr>
              <w:spacing w:after="0" w:line="240" w:lineRule="auto"/>
              <w:ind w:left="-4" w:right="-90"/>
              <w:jc w:val="right"/>
              <w:rPr>
                <w:rFonts w:hint="eastAsia" w:ascii="宋体" w:hAnsi="宋体" w:eastAsia="宋体" w:cs="宋体"/>
                <w:b/>
                <w:bCs/>
                <w:sz w:val="20"/>
                <w:szCs w:val="20"/>
              </w:rPr>
            </w:pPr>
            <w:r>
              <w:rPr>
                <w:rFonts w:hint="eastAsia" w:ascii="宋体" w:hAnsi="宋体" w:eastAsia="宋体" w:cs="宋体"/>
                <w:b/>
                <w:bCs/>
                <w:sz w:val="20"/>
                <w:szCs w:val="20"/>
              </w:rPr>
              <w:t>司法管辖区对ISSB准</w:t>
            </w:r>
            <w:r>
              <w:rPr>
                <w:rFonts w:hint="eastAsia" w:ascii="宋体" w:hAnsi="宋体" w:cs="宋体"/>
                <w:b/>
                <w:bCs/>
                <w:sz w:val="20"/>
                <w:szCs w:val="20"/>
                <w:lang w:val="en-US" w:eastAsia="zh-CN"/>
              </w:rPr>
              <w:t>则</w:t>
            </w:r>
            <w:r>
              <w:rPr>
                <w:rFonts w:hint="eastAsia" w:ascii="宋体" w:hAnsi="宋体" w:eastAsia="宋体" w:cs="宋体"/>
                <w:b/>
                <w:bCs/>
                <w:sz w:val="20"/>
                <w:szCs w:val="20"/>
              </w:rPr>
              <w:t>要求的</w:t>
            </w:r>
          </w:p>
          <w:p>
            <w:pPr>
              <w:spacing w:after="0" w:line="240" w:lineRule="auto"/>
              <w:ind w:left="-4" w:right="-90"/>
              <w:jc w:val="right"/>
              <w:rPr>
                <w:rFonts w:ascii="Arial" w:hAnsi="Arial" w:cs="Arial"/>
                <w:b/>
                <w:bCs/>
                <w:sz w:val="20"/>
                <w:szCs w:val="20"/>
              </w:rPr>
            </w:pPr>
            <w:r>
              <w:rPr>
                <w:rFonts w:hint="eastAsia" w:ascii="宋体" w:hAnsi="宋体" w:eastAsia="宋体" w:cs="宋体"/>
                <w:b/>
                <w:bCs/>
                <w:sz w:val="20"/>
                <w:szCs w:val="20"/>
              </w:rPr>
              <w:t>修订</w:t>
            </w:r>
          </w:p>
        </w:tc>
        <w:tc>
          <w:tcPr>
            <w:tcW w:w="6910" w:type="dxa"/>
            <w:gridSpan w:val="3"/>
            <w:tcBorders>
              <w:top w:val="single" w:color="AEAFB0" w:sz="4" w:space="0"/>
              <w:bottom w:val="single" w:color="AEAFB0" w:sz="4" w:space="0"/>
            </w:tcBorders>
            <w:noWrap w:val="0"/>
            <w:vAlign w:val="top"/>
          </w:tcPr>
          <w:p>
            <w:pPr>
              <w:spacing w:after="0" w:line="240" w:lineRule="auto"/>
              <w:ind w:left="0" w:right="0"/>
              <w:jc w:val="both"/>
              <w:rPr>
                <w:rFonts w:hint="eastAsia" w:ascii="宋体" w:hAnsi="宋体" w:cs="宋体"/>
                <w:color w:val="auto"/>
                <w:sz w:val="20"/>
                <w:szCs w:val="20"/>
                <w:shd w:val="clear" w:color="auto" w:fill="auto"/>
                <w:lang w:eastAsia="zh-CN"/>
              </w:rPr>
            </w:pPr>
            <w:r>
              <w:rPr>
                <w:rFonts w:hint="eastAsia" w:ascii="宋体" w:hAnsi="宋体" w:cs="宋体"/>
                <w:color w:val="auto"/>
                <w:sz w:val="20"/>
                <w:szCs w:val="20"/>
                <w:shd w:val="clear" w:color="auto" w:fill="auto"/>
                <w:lang w:eastAsia="zh-CN"/>
              </w:rPr>
              <w:t>要求披露行业特定信息，但该类信息的具体形式尚未规定。《基本准则》未要求考虑或参照SASB（可持续会计准则委员会）准则。关于行业特定信息披露的细化，将由应用指南进一步明确。</w:t>
            </w:r>
          </w:p>
        </w:tc>
      </w:tr>
      <w:tr>
        <w:tblPrEx>
          <w:tblBorders>
            <w:top w:val="single" w:color="AEAFB0" w:sz="4" w:space="0"/>
            <w:left w:val="none" w:color="auto" w:sz="0" w:space="0"/>
            <w:bottom w:val="single" w:color="AEAFB0" w:sz="4" w:space="0"/>
            <w:right w:val="none" w:color="auto" w:sz="0" w:space="0"/>
            <w:insideH w:val="none" w:color="auto" w:sz="0" w:space="0"/>
            <w:insideV w:val="none" w:color="auto" w:sz="0" w:space="0"/>
          </w:tblBorders>
          <w:tblCellMar>
            <w:top w:w="101" w:type="dxa"/>
            <w:left w:w="144" w:type="dxa"/>
            <w:bottom w:w="58" w:type="dxa"/>
            <w:right w:w="288" w:type="dxa"/>
          </w:tblCellMar>
        </w:tblPrEx>
        <w:trPr>
          <w:trHeight w:val="757" w:hRule="atLeast"/>
        </w:trPr>
        <w:tc>
          <w:tcPr>
            <w:tcW w:w="3350" w:type="dxa"/>
            <w:shd w:val="clear" w:color="auto" w:fill="CEEBF8"/>
            <w:noWrap w:val="0"/>
            <w:vAlign w:val="top"/>
          </w:tcPr>
          <w:p>
            <w:pPr>
              <w:spacing w:after="0" w:line="240" w:lineRule="auto"/>
              <w:ind w:left="-4" w:right="-90"/>
              <w:jc w:val="right"/>
              <w:rPr>
                <w:rFonts w:ascii="Arial" w:hAnsi="Arial" w:cs="Arial"/>
                <w:b/>
                <w:bCs/>
                <w:sz w:val="20"/>
                <w:szCs w:val="20"/>
              </w:rPr>
            </w:pPr>
            <w:r>
              <w:rPr>
                <w:rFonts w:hint="eastAsia" w:ascii="宋体" w:hAnsi="宋体" w:eastAsia="宋体" w:cs="宋体"/>
                <w:b/>
                <w:bCs/>
                <w:sz w:val="20"/>
                <w:szCs w:val="20"/>
              </w:rPr>
              <w:t>额外披露要求</w:t>
            </w:r>
          </w:p>
        </w:tc>
        <w:tc>
          <w:tcPr>
            <w:tcW w:w="6910" w:type="dxa"/>
            <w:gridSpan w:val="3"/>
            <w:noWrap w:val="0"/>
            <w:vAlign w:val="top"/>
          </w:tcPr>
          <w:p>
            <w:pPr>
              <w:spacing w:after="0" w:line="240" w:lineRule="auto"/>
              <w:ind w:left="-4" w:right="-90"/>
              <w:jc w:val="both"/>
              <w:rPr>
                <w:rFonts w:hint="eastAsia" w:ascii="宋体" w:hAnsi="宋体" w:cs="宋体"/>
                <w:color w:val="auto"/>
                <w:sz w:val="20"/>
                <w:szCs w:val="20"/>
                <w:shd w:val="clear" w:color="auto" w:fill="auto"/>
                <w:lang w:eastAsia="zh-CN"/>
              </w:rPr>
            </w:pPr>
            <w:r>
              <w:rPr>
                <w:rFonts w:hint="eastAsia" w:ascii="宋体" w:hAnsi="宋体" w:cs="宋体"/>
                <w:color w:val="auto"/>
                <w:sz w:val="20"/>
                <w:szCs w:val="20"/>
                <w:shd w:val="clear" w:color="auto" w:fill="auto"/>
                <w:lang w:eastAsia="zh-CN"/>
              </w:rPr>
              <w:t>根据《基本准则》，用于满足投资者信息需求的可持续发展相关风险和机遇信息，需与为满足更广泛利益相关方信息需求而额外披露的可持续发展影响信息明确区分，不得相互混淆。</w:t>
            </w:r>
          </w:p>
        </w:tc>
      </w:tr>
      <w:tr>
        <w:tblPrEx>
          <w:tblBorders>
            <w:top w:val="single" w:color="AEAFB0" w:sz="4" w:space="0"/>
            <w:left w:val="none" w:color="auto" w:sz="0" w:space="0"/>
            <w:bottom w:val="single" w:color="AEAFB0" w:sz="4" w:space="0"/>
            <w:right w:val="none" w:color="auto" w:sz="0" w:space="0"/>
            <w:insideH w:val="none" w:color="auto" w:sz="0" w:space="0"/>
            <w:insideV w:val="none" w:color="auto" w:sz="0" w:space="0"/>
          </w:tblBorders>
          <w:tblCellMar>
            <w:top w:w="101" w:type="dxa"/>
            <w:left w:w="144" w:type="dxa"/>
            <w:bottom w:w="58" w:type="dxa"/>
            <w:right w:w="288" w:type="dxa"/>
          </w:tblCellMar>
        </w:tblPrEx>
        <w:trPr>
          <w:trHeight w:val="457" w:hRule="atLeast"/>
        </w:trPr>
        <w:tc>
          <w:tcPr>
            <w:tcW w:w="3350" w:type="dxa"/>
            <w:tcBorders>
              <w:top w:val="single" w:color="AEAFB0" w:sz="4" w:space="0"/>
              <w:bottom w:val="single" w:color="AEAFB0" w:sz="4" w:space="0"/>
            </w:tcBorders>
            <w:shd w:val="clear" w:color="auto" w:fill="CEEBF8"/>
            <w:noWrap w:val="0"/>
            <w:vAlign w:val="top"/>
          </w:tcPr>
          <w:p>
            <w:pPr>
              <w:spacing w:after="0" w:line="240" w:lineRule="auto"/>
              <w:ind w:left="-4" w:right="-90"/>
              <w:jc w:val="right"/>
              <w:rPr>
                <w:rFonts w:ascii="Arial" w:hAnsi="Arial" w:cs="Arial"/>
                <w:b/>
                <w:bCs/>
                <w:sz w:val="20"/>
                <w:szCs w:val="20"/>
              </w:rPr>
            </w:pPr>
            <w:r>
              <w:rPr>
                <w:rFonts w:hint="eastAsia" w:ascii="宋体" w:hAnsi="宋体" w:cs="宋体"/>
                <w:b/>
                <w:bCs/>
                <w:sz w:val="20"/>
                <w:szCs w:val="20"/>
                <w:lang w:eastAsia="zh-CN"/>
              </w:rPr>
              <w:t>鉴证</w:t>
            </w:r>
            <w:r>
              <w:rPr>
                <w:rFonts w:ascii="宋体" w:hAnsi="宋体" w:eastAsia="宋体" w:cs="宋体"/>
                <w:b/>
                <w:bCs/>
                <w:sz w:val="20"/>
                <w:szCs w:val="20"/>
              </w:rPr>
              <w:t>要求</w:t>
            </w:r>
          </w:p>
        </w:tc>
        <w:tc>
          <w:tcPr>
            <w:tcW w:w="6910" w:type="dxa"/>
            <w:gridSpan w:val="3"/>
            <w:tcBorders>
              <w:top w:val="single" w:color="AEAFB0" w:sz="4" w:space="0"/>
              <w:bottom w:val="single" w:color="AEAFB0" w:sz="4" w:space="0"/>
            </w:tcBorders>
            <w:noWrap w:val="0"/>
            <w:vAlign w:val="top"/>
          </w:tcPr>
          <w:p>
            <w:pPr>
              <w:spacing w:after="0" w:line="240" w:lineRule="auto"/>
              <w:ind w:left="-4" w:right="-90"/>
              <w:jc w:val="both"/>
              <w:rPr>
                <w:rFonts w:hint="eastAsia" w:ascii="宋体" w:hAnsi="宋体" w:cs="宋体"/>
                <w:color w:val="auto"/>
                <w:sz w:val="20"/>
                <w:szCs w:val="20"/>
                <w:shd w:val="clear" w:color="auto" w:fill="auto"/>
                <w:lang w:eastAsia="zh-CN"/>
              </w:rPr>
            </w:pPr>
            <w:r>
              <w:rPr>
                <w:rFonts w:hint="eastAsia" w:ascii="宋体" w:hAnsi="宋体" w:cs="宋体"/>
                <w:color w:val="auto"/>
                <w:sz w:val="20"/>
                <w:szCs w:val="20"/>
                <w:shd w:val="clear" w:color="auto" w:fill="auto"/>
                <w:lang w:eastAsia="zh-CN"/>
              </w:rPr>
              <w:t>依据《基本准则》，该事项为鼓励性而非强制性要求。</w:t>
            </w:r>
          </w:p>
        </w:tc>
      </w:tr>
      <w:tr>
        <w:tblPrEx>
          <w:tblBorders>
            <w:top w:val="single" w:color="AEAFB0" w:sz="4" w:space="0"/>
            <w:left w:val="none" w:color="auto" w:sz="0" w:space="0"/>
            <w:bottom w:val="single" w:color="AEAFB0" w:sz="4" w:space="0"/>
            <w:right w:val="none" w:color="auto" w:sz="0" w:space="0"/>
            <w:insideH w:val="none" w:color="auto" w:sz="0" w:space="0"/>
            <w:insideV w:val="none" w:color="auto" w:sz="0" w:space="0"/>
          </w:tblBorders>
          <w:tblCellMar>
            <w:top w:w="101" w:type="dxa"/>
            <w:left w:w="144" w:type="dxa"/>
            <w:bottom w:w="58" w:type="dxa"/>
            <w:right w:w="288" w:type="dxa"/>
          </w:tblCellMar>
        </w:tblPrEx>
        <w:trPr>
          <w:trHeight w:val="90" w:hRule="atLeast"/>
        </w:trPr>
        <w:tc>
          <w:tcPr>
            <w:tcW w:w="3350" w:type="dxa"/>
            <w:shd w:val="clear" w:color="auto" w:fill="CEEBF8"/>
            <w:noWrap w:val="0"/>
            <w:vAlign w:val="top"/>
          </w:tcPr>
          <w:p>
            <w:pPr>
              <w:spacing w:after="0" w:line="240" w:lineRule="auto"/>
              <w:ind w:left="-4" w:right="-90"/>
              <w:jc w:val="right"/>
              <w:rPr>
                <w:rFonts w:ascii="Arial" w:hAnsi="Arial" w:cs="Arial"/>
                <w:b/>
                <w:bCs/>
                <w:sz w:val="20"/>
                <w:szCs w:val="20"/>
              </w:rPr>
            </w:pPr>
            <w:r>
              <w:rPr>
                <w:rFonts w:hint="eastAsia" w:ascii="宋体" w:hAnsi="宋体" w:eastAsia="宋体" w:cs="宋体"/>
                <w:b/>
                <w:bCs/>
                <w:sz w:val="20"/>
                <w:szCs w:val="20"/>
              </w:rPr>
              <w:t>补充说明事项</w:t>
            </w:r>
          </w:p>
        </w:tc>
        <w:tc>
          <w:tcPr>
            <w:tcW w:w="6910" w:type="dxa"/>
            <w:gridSpan w:val="3"/>
            <w:noWrap w:val="0"/>
            <w:vAlign w:val="top"/>
          </w:tcPr>
          <w:p>
            <w:pPr>
              <w:spacing w:after="0" w:line="240" w:lineRule="auto"/>
              <w:ind w:left="-4" w:right="-90"/>
              <w:jc w:val="both"/>
              <w:rPr>
                <w:rFonts w:hint="eastAsia" w:ascii="宋体" w:hAnsi="宋体" w:cs="宋体"/>
                <w:color w:val="auto"/>
                <w:sz w:val="20"/>
                <w:szCs w:val="20"/>
                <w:shd w:val="clear" w:color="auto" w:fill="auto"/>
                <w:lang w:eastAsia="zh-CN"/>
              </w:rPr>
            </w:pPr>
            <w:r>
              <w:rPr>
                <w:rFonts w:hint="eastAsia" w:ascii="宋体" w:hAnsi="宋体" w:cs="宋体"/>
                <w:color w:val="auto"/>
                <w:sz w:val="20"/>
                <w:szCs w:val="20"/>
                <w:shd w:val="clear" w:color="auto" w:fill="auto"/>
                <w:lang w:eastAsia="zh-CN"/>
              </w:rPr>
              <w:t>《基本准则》为后续以气候为起点、逐步制定其他披露要求提供了基础。</w:t>
            </w:r>
          </w:p>
        </w:tc>
      </w:tr>
      <w:tr>
        <w:tblPrEx>
          <w:tblBorders>
            <w:top w:val="single" w:color="AEAFB0" w:sz="4" w:space="0"/>
            <w:left w:val="none" w:color="auto" w:sz="0" w:space="0"/>
            <w:bottom w:val="single" w:color="AEAFB0" w:sz="4" w:space="0"/>
            <w:right w:val="none" w:color="auto" w:sz="0" w:space="0"/>
            <w:insideH w:val="none" w:color="auto" w:sz="0" w:space="0"/>
            <w:insideV w:val="none" w:color="auto" w:sz="0" w:space="0"/>
          </w:tblBorders>
          <w:tblCellMar>
            <w:top w:w="101" w:type="dxa"/>
            <w:left w:w="144" w:type="dxa"/>
            <w:bottom w:w="58" w:type="dxa"/>
            <w:right w:w="288" w:type="dxa"/>
          </w:tblCellMar>
        </w:tblPrEx>
        <w:trPr>
          <w:trHeight w:val="249" w:hRule="atLeast"/>
        </w:trPr>
        <w:tc>
          <w:tcPr>
            <w:tcW w:w="3350" w:type="dxa"/>
            <w:tcBorders>
              <w:top w:val="single" w:color="AEAFB0" w:sz="4" w:space="0"/>
              <w:bottom w:val="single" w:color="AEAFB0" w:sz="4" w:space="0"/>
            </w:tcBorders>
            <w:shd w:val="clear" w:color="auto" w:fill="CEEBF8"/>
            <w:noWrap w:val="0"/>
            <w:vAlign w:val="top"/>
          </w:tcPr>
          <w:p>
            <w:pPr>
              <w:spacing w:after="0" w:line="240" w:lineRule="auto"/>
              <w:ind w:left="-4" w:right="-90"/>
              <w:jc w:val="right"/>
              <w:rPr>
                <w:rFonts w:ascii="Arial" w:hAnsi="Arial" w:cs="Arial"/>
                <w:b/>
                <w:bCs/>
                <w:sz w:val="20"/>
                <w:szCs w:val="20"/>
              </w:rPr>
            </w:pPr>
            <w:r>
              <w:rPr>
                <w:rFonts w:hint="eastAsia" w:ascii="Arial" w:hAnsi="Arial" w:cs="Arial"/>
                <w:b/>
                <w:bCs/>
                <w:sz w:val="20"/>
                <w:szCs w:val="20"/>
              </w:rPr>
              <w:t>相关文件依据</w:t>
            </w:r>
          </w:p>
        </w:tc>
        <w:tc>
          <w:tcPr>
            <w:tcW w:w="6910" w:type="dxa"/>
            <w:gridSpan w:val="3"/>
            <w:tcBorders>
              <w:top w:val="single" w:color="AEAFB0" w:sz="4" w:space="0"/>
              <w:bottom w:val="single" w:color="AEAFB0" w:sz="4" w:space="0"/>
            </w:tcBorders>
            <w:noWrap w:val="0"/>
            <w:vAlign w:val="top"/>
          </w:tcPr>
          <w:p>
            <w:pPr>
              <w:spacing w:after="0" w:line="240" w:lineRule="auto"/>
              <w:ind w:left="-4" w:right="-90"/>
              <w:jc w:val="both"/>
              <w:rPr>
                <w:rFonts w:hint="eastAsia" w:ascii="宋体" w:hAnsi="宋体" w:cs="宋体"/>
                <w:sz w:val="20"/>
                <w:szCs w:val="20"/>
                <w:lang w:val="en-US" w:eastAsia="zh-CN"/>
              </w:rPr>
            </w:pPr>
            <w:r>
              <w:rPr>
                <w:rStyle w:val="22"/>
                <w:rFonts w:hint="eastAsia" w:ascii="Arial" w:hAnsi="Arial" w:cs="Arial"/>
                <w:sz w:val="20"/>
                <w:szCs w:val="20"/>
              </w:rPr>
              <w:t>关于印发《企业可持续披露准则——基本准则（试行）》的通知</w:t>
            </w:r>
            <w:r>
              <w:rPr>
                <w:rFonts w:hint="eastAsia" w:ascii="宋体" w:hAnsi="宋体" w:cs="宋体"/>
                <w:sz w:val="20"/>
                <w:szCs w:val="20"/>
                <w:lang w:eastAsia="zh-CN"/>
              </w:rPr>
              <w:t>（</w:t>
            </w:r>
            <w:r>
              <w:rPr>
                <w:rFonts w:hint="eastAsia" w:ascii="宋体" w:hAnsi="宋体" w:cs="宋体"/>
                <w:sz w:val="20"/>
                <w:szCs w:val="20"/>
                <w:lang w:val="en-US" w:eastAsia="zh-CN"/>
              </w:rPr>
              <w:t>中文版）</w:t>
            </w:r>
          </w:p>
          <w:p>
            <w:pPr>
              <w:spacing w:after="0" w:line="240" w:lineRule="auto"/>
              <w:ind w:left="-4" w:right="-90"/>
              <w:jc w:val="both"/>
              <w:rPr>
                <w:rFonts w:hint="default" w:ascii="宋体" w:hAnsi="宋体" w:cs="宋体"/>
                <w:sz w:val="20"/>
                <w:szCs w:val="20"/>
                <w:lang w:val="en-US" w:eastAsia="zh-CN"/>
              </w:rPr>
            </w:pPr>
            <w:r>
              <w:rPr>
                <w:rStyle w:val="22"/>
                <w:rFonts w:hint="eastAsia" w:ascii="宋体" w:hAnsi="宋体" w:eastAsia="宋体" w:cs="宋体"/>
                <w:sz w:val="20"/>
                <w:szCs w:val="20"/>
              </w:rPr>
              <w:t>关于征求</w:t>
            </w:r>
            <w:r>
              <w:rPr>
                <w:rStyle w:val="22"/>
                <w:rFonts w:ascii="宋体" w:hAnsi="宋体" w:eastAsia="宋体" w:cs="宋体"/>
                <w:sz w:val="20"/>
                <w:szCs w:val="20"/>
              </w:rPr>
              <w:t>《企业可持续披露准则第1号——气候（试行）（征求意见稿）》</w:t>
            </w:r>
            <w:r>
              <w:rPr>
                <w:rStyle w:val="22"/>
                <w:rFonts w:hint="eastAsia" w:ascii="宋体" w:hAnsi="宋体" w:cs="宋体"/>
                <w:sz w:val="20"/>
                <w:szCs w:val="20"/>
                <w:lang w:eastAsia="zh-CN"/>
              </w:rPr>
              <w:t>意见的函</w:t>
            </w:r>
            <w:r>
              <w:rPr>
                <w:rFonts w:hint="eastAsia" w:ascii="宋体" w:hAnsi="宋体" w:cs="宋体"/>
                <w:sz w:val="20"/>
                <w:szCs w:val="20"/>
                <w:lang w:eastAsia="zh-CN"/>
              </w:rPr>
              <w:t>（</w:t>
            </w:r>
            <w:r>
              <w:rPr>
                <w:rFonts w:hint="eastAsia" w:ascii="宋体" w:hAnsi="宋体" w:cs="宋体"/>
                <w:sz w:val="20"/>
                <w:szCs w:val="20"/>
                <w:lang w:val="en-US" w:eastAsia="zh-CN"/>
              </w:rPr>
              <w:t>中文版）</w:t>
            </w:r>
          </w:p>
        </w:tc>
      </w:tr>
    </w:tbl>
    <w:p>
      <w:pPr>
        <w:spacing w:after="0" w:line="240" w:lineRule="auto"/>
        <w:ind w:right="-90"/>
        <w:rPr>
          <w:sz w:val="20"/>
          <w:szCs w:val="20"/>
        </w:rPr>
      </w:pPr>
    </w:p>
    <w:sectPr>
      <w:headerReference r:id="rId7" w:type="first"/>
      <w:footerReference r:id="rId10" w:type="first"/>
      <w:headerReference r:id="rId5" w:type="default"/>
      <w:footerReference r:id="rId8" w:type="default"/>
      <w:headerReference r:id="rId6" w:type="even"/>
      <w:footerReference r:id="rId9" w:type="even"/>
      <w:pgSz w:w="11906" w:h="16838"/>
      <w:pgMar w:top="1620" w:right="926" w:bottom="720" w:left="720" w:header="540" w:footer="708" w:gutter="0"/>
      <w:pgBorders>
        <w:top w:val="none" w:sz="0" w:space="0"/>
        <w:left w:val="none" w:sz="0" w:space="0"/>
        <w:bottom w:val="none" w:sz="0" w:space="0"/>
        <w:right w:val="none" w:sz="0" w:space="0"/>
      </w:pgBorders>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Aptos">
    <w:altName w:val="方正宋体S-超大字符集(SIP)"/>
    <w:panose1 w:val="00000000000000000000"/>
    <w:charset w:val="00"/>
    <w:family w:val="swiss"/>
    <w:pitch w:val="default"/>
    <w:sig w:usb0="00000000" w:usb1="00000000" w:usb2="00000000" w:usb3="00000000" w:csb0="0000019F" w:csb1="00000000"/>
  </w:font>
  <w:font w:name="Arial">
    <w:altName w:val="DejaVu Sans"/>
    <w:panose1 w:val="00000000000000000000"/>
    <w:charset w:val="00"/>
    <w:family w:val="auto"/>
    <w:pitch w:val="default"/>
    <w:sig w:usb0="00000000" w:usb1="00000000" w:usb2="00000000" w:usb3="00000000" w:csb0="00040001" w:csb1="00000000"/>
  </w:font>
  <w:font w:name="Aptos Display">
    <w:altName w:val="方正宋体S-超大字符集(SIP)"/>
    <w:panose1 w:val="00000000000000000000"/>
    <w:charset w:val="00"/>
    <w:family w:val="swiss"/>
    <w:pitch w:val="default"/>
    <w:sig w:usb0="00000000" w:usb1="00000000" w:usb2="00000000" w:usb3="00000000" w:csb0="0000019F" w:csb1="00000000"/>
  </w:font>
  <w:font w:name="游ゴシック Light">
    <w:altName w:val="仿宋_GB2312"/>
    <w:panose1 w:val="00000000000000000000"/>
    <w:charset w:val="00"/>
    <w:family w:val="auto"/>
    <w:pitch w:val="default"/>
    <w:sig w:usb0="00000000" w:usb1="00000000" w:usb2="00000000" w:usb3="00000000" w:csb0="00040001" w:csb1="00000000"/>
  </w:font>
  <w:font w:name="Segoe UI">
    <w:altName w:val="Noto Naskh Arabic"/>
    <w:panose1 w:val="020B0502040204020203"/>
    <w:charset w:val="00"/>
    <w:family w:val="swiss"/>
    <w:pitch w:val="default"/>
    <w:sig w:usb0="00000000" w:usb1="00000000" w:usb2="00000009" w:usb3="00000000" w:csb0="200001FF" w:csb1="00000000"/>
  </w:font>
  <w:font w:name="Symbol">
    <w:panose1 w:val="02000609000000000000"/>
    <w:charset w:val="00"/>
    <w:family w:val="roman"/>
    <w:pitch w:val="default"/>
    <w:sig w:usb0="800000AF" w:usb1="4000204A" w:usb2="00000000" w:usb3="00000000" w:csb0="20000000" w:csb1="00000000"/>
  </w:font>
  <w:font w:name="Courier New">
    <w:altName w:val="DejaVu Sans"/>
    <w:panose1 w:val="02070309020205020404"/>
    <w:charset w:val="00"/>
    <w:family w:val="modern"/>
    <w:pitch w:val="default"/>
    <w:sig w:usb0="E0002A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方正书宋_GBK">
    <w:panose1 w:val="02000000000000000000"/>
    <w:charset w:val="86"/>
    <w:family w:val="auto"/>
    <w:pitch w:val="default"/>
    <w:sig w:usb0="00000001" w:usb1="08000000" w:usb2="00000000" w:usb3="00000000" w:csb0="00040000" w:csb1="00000000"/>
  </w:font>
  <w:font w:name="方正宋体S-超大字符集(SIP)">
    <w:panose1 w:val="03000509000000000000"/>
    <w:charset w:val="86"/>
    <w:family w:val="auto"/>
    <w:pitch w:val="default"/>
    <w:sig w:usb0="00000003" w:usb1="0A0E0800" w:usb2="00000006"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513"/>
        <w:tab w:val="right" w:pos="9026"/>
      </w:tabs>
      <w:spacing w:after="0" w:line="260" w:lineRule="exact"/>
      <w:ind w:left="180" w:hanging="90"/>
      <w:rPr>
        <w:rFonts w:ascii="Aptos" w:hAnsi="Aptos" w:eastAsia="Aptos" w:cs="Aptos"/>
        <w:sz w:val="20"/>
        <w:szCs w:val="20"/>
      </w:rPr>
    </w:pPr>
  </w:p>
  <w:p>
    <w:pPr>
      <w:pStyle w:val="12"/>
      <w:rPr>
        <w:b/>
        <w:sz w:val="16"/>
        <w:szCs w:val="16"/>
      </w:rPr>
    </w:pPr>
    <w:r>
      <w:rPr>
        <w:b/>
        <w:sz w:val="16"/>
        <w:szCs w:val="16"/>
      </w:rPr>
      <w:t>免责声明</w:t>
    </w:r>
    <w:r>
      <w:rPr>
        <w:rFonts w:hint="default"/>
        <w:b/>
        <w:sz w:val="16"/>
        <w:szCs w:val="16"/>
      </w:rPr>
      <w:br w:type="textWrapping"/>
    </w:r>
    <w:r>
      <w:rPr>
        <w:rFonts w:hint="default"/>
        <w:b/>
        <w:sz w:val="16"/>
        <w:szCs w:val="16"/>
      </w:rPr>
      <w:t>此处提供的信息仅作一般指导用途，可能会不</w:t>
    </w:r>
    <w:r>
      <w:rPr>
        <w:rFonts w:hint="eastAsia"/>
        <w:b/>
        <w:sz w:val="16"/>
        <w:szCs w:val="16"/>
        <w:lang w:eastAsia="zh-CN"/>
      </w:rPr>
      <w:t>期</w:t>
    </w:r>
    <w:r>
      <w:rPr>
        <w:rFonts w:hint="default"/>
        <w:b/>
        <w:sz w:val="16"/>
        <w:szCs w:val="16"/>
      </w:rPr>
      <w:t>更新。您不应依据该信息采取行动，而应获取具体的专业建议，以协助您就该信息做出任何决策或采取任何行动。如您认为信息有误，请通过 regulatoryaffairs@ifrs.org 与我们联系。</w:t>
    </w:r>
  </w:p>
  <w:p>
    <w:pPr>
      <w:pStyle w:val="12"/>
      <w:rPr>
        <w:rFonts w:ascii="Arial" w:hAnsi="Arial" w:eastAsia="Arial" w:cs="Arial"/>
        <w:color w:val="000000"/>
        <w:sz w:val="18"/>
        <w:szCs w:val="18"/>
      </w:rPr>
    </w:pPr>
    <w:r>
      <w:rPr>
        <w:rFonts w:ascii="Arial" w:hAnsi="Arial" w:eastAsia="Arial" w:cs="Arial"/>
        <w:color w:val="000000"/>
        <w:sz w:val="18"/>
        <w:szCs w:val="18"/>
      </w:rPr>
      <w:t>© IFRS Foundation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left="1440" w:firstLine="720"/>
      <w:jc w:val="right"/>
      <w:rPr>
        <w:rFonts w:hint="default" w:ascii="Arial" w:hAnsi="Arial" w:eastAsia="宋体" w:cs="Arial"/>
        <w:color w:val="5F6061"/>
        <w:sz w:val="20"/>
        <w:szCs w:val="20"/>
        <w:lang w:val="en-US" w:eastAsia="zh-CN"/>
      </w:rPr>
    </w:pPr>
    <w:r>
      <w:rPr>
        <w:rFonts w:ascii="Arial" w:hAnsi="Arial" w:cs="Arial"/>
        <w:color w:val="5F6061"/>
        <w:sz w:val="20"/>
        <w:szCs w:val="20"/>
      </w:rPr>
      <w:drawing>
        <wp:anchor distT="0" distB="0" distL="114300" distR="114300" simplePos="0" relativeHeight="251658240" behindDoc="1" locked="1" layoutInCell="1" allowOverlap="0">
          <wp:simplePos x="0" y="0"/>
          <wp:positionH relativeFrom="page">
            <wp:posOffset>457200</wp:posOffset>
          </wp:positionH>
          <wp:positionV relativeFrom="paragraph">
            <wp:posOffset>0</wp:posOffset>
          </wp:positionV>
          <wp:extent cx="1334770" cy="475615"/>
          <wp:effectExtent l="0" t="0" r="0" b="0"/>
          <wp:wrapNone/>
          <wp:docPr id="2" name="Picture 1603968214" descr="A red and white sign&#10;&#10;Description automatically generated with low confidence"/>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Picture 1603968214" descr="A red and white sign&#10;&#10;Description automatically generated with low confidence"/>
                  <pic:cNvPicPr>
                    <a:picLocks noChangeAspect="true"/>
                  </pic:cNvPicPr>
                </pic:nvPicPr>
                <pic:blipFill>
                  <a:blip r:embed="rId1"/>
                  <a:srcRect l="-7016" t="-16071" r="-6796" b="-17287"/>
                  <a:stretch>
                    <a:fillRect/>
                  </a:stretch>
                </pic:blipFill>
                <pic:spPr>
                  <a:xfrm>
                    <a:off x="0" y="0"/>
                    <a:ext cx="1334770" cy="475615"/>
                  </a:xfrm>
                  <a:prstGeom prst="rect">
                    <a:avLst/>
                  </a:prstGeom>
                  <a:noFill/>
                  <a:ln>
                    <a:noFill/>
                  </a:ln>
                </pic:spPr>
              </pic:pic>
            </a:graphicData>
          </a:graphic>
        </wp:anchor>
      </w:drawing>
    </w:r>
    <w:r>
      <w:rPr>
        <w:rFonts w:hint="eastAsia" w:ascii="Arial" w:hAnsi="Arial" w:cs="Arial"/>
        <w:color w:val="5F6061"/>
        <w:sz w:val="20"/>
        <w:szCs w:val="20"/>
      </w:rPr>
      <w:t>文件最后更新日期</w:t>
    </w:r>
    <w:r>
      <w:rPr>
        <w:rFonts w:hint="eastAsia" w:ascii="Arial" w:hAnsi="Arial" w:cs="Arial"/>
        <w:color w:val="5F6061"/>
        <w:sz w:val="20"/>
        <w:szCs w:val="20"/>
        <w:lang w:eastAsia="zh-CN"/>
      </w:rPr>
      <w:t>：</w:t>
    </w:r>
    <w:r>
      <w:rPr>
        <w:rFonts w:hint="eastAsia" w:ascii="Arial" w:hAnsi="Arial" w:eastAsia="宋体" w:cs="Arial"/>
        <w:color w:val="5F6061"/>
        <w:sz w:val="20"/>
        <w:szCs w:val="20"/>
      </w:rPr>
      <w:t>2025年</w:t>
    </w:r>
    <w:r>
      <w:rPr>
        <w:rFonts w:hint="eastAsia" w:ascii="Arial" w:hAnsi="Arial" w:eastAsia="宋体" w:cs="Arial"/>
        <w:color w:val="5F6061"/>
        <w:sz w:val="20"/>
        <w:szCs w:val="20"/>
        <w:lang w:val="en-US" w:eastAsia="zh-CN"/>
      </w:rPr>
      <w:t>6</w:t>
    </w:r>
    <w:r>
      <w:rPr>
        <w:rFonts w:hint="eastAsia" w:ascii="Arial" w:hAnsi="Arial" w:eastAsia="宋体" w:cs="Arial"/>
        <w:color w:val="5F6061"/>
        <w:sz w:val="20"/>
        <w:szCs w:val="20"/>
      </w:rPr>
      <w:t>月</w:t>
    </w:r>
    <w:r>
      <w:rPr>
        <w:rFonts w:hint="eastAsia" w:ascii="Arial" w:hAnsi="Arial" w:eastAsia="宋体" w:cs="Arial"/>
        <w:color w:val="5F6061"/>
        <w:sz w:val="20"/>
        <w:szCs w:val="20"/>
        <w:lang w:val="en-US" w:eastAsia="zh-CN"/>
      </w:rPr>
      <w:t>12日</w:t>
    </w:r>
  </w:p>
  <w:p>
    <w:pPr>
      <w:pStyle w:val="13"/>
      <w:ind w:left="1440"/>
      <w:jc w:val="center"/>
      <w:rPr>
        <w:rFonts w:ascii="Arial" w:hAnsi="Arial" w:cs="Arial"/>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326DF3"/>
    <w:multiLevelType w:val="multilevel"/>
    <w:tmpl w:val="4C326DF3"/>
    <w:lvl w:ilvl="0" w:tentative="0">
      <w:start w:val="1"/>
      <w:numFmt w:val="decimal"/>
      <w:suff w:val="space"/>
      <w:lvlText w:val=""/>
      <w:lvlJc w:val="left"/>
      <w:pPr>
        <w:ind w:left="720" w:hanging="360"/>
      </w:pPr>
      <w:rPr>
        <w:rFonts w:hint="default" w:ascii="Symbol" w:hAnsi="Symbol"/>
      </w:rPr>
    </w:lvl>
    <w:lvl w:ilvl="1" w:tentative="0">
      <w:start w:val="1"/>
      <w:numFmt w:val="decimal"/>
      <w:suff w:val="space"/>
      <w:lvlText w:val="英语字母表的第15个字母"/>
      <w:lvlJc w:val="left"/>
      <w:pPr>
        <w:ind w:left="1440" w:hanging="360"/>
      </w:pPr>
      <w:rPr>
        <w:rFonts w:hint="default" w:ascii="Courier New" w:hAnsi="Courier New" w:cs="Courier New"/>
      </w:rPr>
    </w:lvl>
    <w:lvl w:ilvl="2" w:tentative="0">
      <w:start w:val="1"/>
      <w:numFmt w:val="decimal"/>
      <w:suff w:val="space"/>
      <w:lvlText w:val=""/>
      <w:lvlJc w:val="left"/>
      <w:pPr>
        <w:ind w:left="2160" w:hanging="360"/>
      </w:pPr>
      <w:rPr>
        <w:rFonts w:hint="default" w:ascii="Wingdings" w:hAnsi="Wingdings"/>
      </w:rPr>
    </w:lvl>
    <w:lvl w:ilvl="3" w:tentative="0">
      <w:start w:val="1"/>
      <w:numFmt w:val="decimal"/>
      <w:suff w:val="space"/>
      <w:lvlText w:val=""/>
      <w:lvlJc w:val="left"/>
      <w:pPr>
        <w:ind w:left="2880" w:hanging="360"/>
      </w:pPr>
      <w:rPr>
        <w:rFonts w:hint="default" w:ascii="Symbol" w:hAnsi="Symbol"/>
      </w:rPr>
    </w:lvl>
    <w:lvl w:ilvl="4" w:tentative="0">
      <w:start w:val="1"/>
      <w:numFmt w:val="decimal"/>
      <w:suff w:val="space"/>
      <w:lvlText w:val="英语字母表的第15个字母"/>
      <w:lvlJc w:val="left"/>
      <w:pPr>
        <w:ind w:left="3600" w:hanging="360"/>
      </w:pPr>
      <w:rPr>
        <w:rFonts w:hint="default" w:ascii="Courier New" w:hAnsi="Courier New" w:cs="Courier New"/>
      </w:rPr>
    </w:lvl>
    <w:lvl w:ilvl="5" w:tentative="0">
      <w:start w:val="1"/>
      <w:numFmt w:val="decimal"/>
      <w:suff w:val="space"/>
      <w:lvlText w:val=""/>
      <w:lvlJc w:val="left"/>
      <w:pPr>
        <w:ind w:left="4320" w:hanging="360"/>
      </w:pPr>
      <w:rPr>
        <w:rFonts w:hint="default" w:ascii="Wingdings" w:hAnsi="Wingdings"/>
      </w:rPr>
    </w:lvl>
    <w:lvl w:ilvl="6" w:tentative="0">
      <w:start w:val="1"/>
      <w:numFmt w:val="decimal"/>
      <w:suff w:val="space"/>
      <w:lvlText w:val=""/>
      <w:lvlJc w:val="left"/>
      <w:pPr>
        <w:ind w:left="5040" w:hanging="360"/>
      </w:pPr>
      <w:rPr>
        <w:rFonts w:hint="default" w:ascii="Symbol" w:hAnsi="Symbol"/>
      </w:rPr>
    </w:lvl>
    <w:lvl w:ilvl="7" w:tentative="0">
      <w:start w:val="1"/>
      <w:numFmt w:val="decimal"/>
      <w:suff w:val="space"/>
      <w:lvlText w:val="英语字母表的第15个字母"/>
      <w:lvlJc w:val="left"/>
      <w:pPr>
        <w:ind w:left="5760" w:hanging="360"/>
      </w:pPr>
      <w:rPr>
        <w:rFonts w:hint="default" w:ascii="Courier New" w:hAnsi="Courier New" w:cs="Courier New"/>
      </w:rPr>
    </w:lvl>
    <w:lvl w:ilvl="8" w:tentative="0">
      <w:start w:val="1"/>
      <w:numFmt w:val="decimal"/>
      <w:suff w:val="space"/>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false"/>
  <w:bordersDoNotSurroundFooter w:val="false"/>
  <w:trackRevisions w:val="true"/>
  <w:documentProtection w:enforcement="0"/>
  <w:defaultTabStop w:val="720"/>
  <w:hyphenationZone w:val="360"/>
  <w:displayHorizontalDrawingGridEvery w:val="1"/>
  <w:displayVerticalDrawingGridEvery w:val="1"/>
  <w:noPunctuationKerning w:val="true"/>
  <w:characterSpacingControl w:val="doNotCompress"/>
  <w:hdrShapeDefaults>
    <o:shapelayout v:ext="edit">
      <o:idmap v:ext="edit" data="2"/>
    </o:shapelayout>
  </w:hdrShapeDefaults>
  <w:footnotePr>
    <w:footnote w:id="0"/>
    <w:footnote w:id="1"/>
  </w:footnotePr>
  <w:endnotePr>
    <w:endnote w:id="0"/>
    <w:endnote w:id="1"/>
  </w:endnotePr>
  <w:compat>
    <w:doNotExpandShiftReturn/>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4565"/>
    <w:rsid w:val="00002A67"/>
    <w:rsid w:val="00002A92"/>
    <w:rsid w:val="0000756C"/>
    <w:rsid w:val="00007ABE"/>
    <w:rsid w:val="00007D1B"/>
    <w:rsid w:val="000103CB"/>
    <w:rsid w:val="00012285"/>
    <w:rsid w:val="00016A2B"/>
    <w:rsid w:val="00017EBE"/>
    <w:rsid w:val="00020064"/>
    <w:rsid w:val="00020A69"/>
    <w:rsid w:val="00023874"/>
    <w:rsid w:val="000247E6"/>
    <w:rsid w:val="00026275"/>
    <w:rsid w:val="00045C0B"/>
    <w:rsid w:val="00046563"/>
    <w:rsid w:val="00046874"/>
    <w:rsid w:val="0005047F"/>
    <w:rsid w:val="000561E2"/>
    <w:rsid w:val="000631A8"/>
    <w:rsid w:val="0006617C"/>
    <w:rsid w:val="00066DC6"/>
    <w:rsid w:val="00073026"/>
    <w:rsid w:val="00077C46"/>
    <w:rsid w:val="00080FCD"/>
    <w:rsid w:val="00087295"/>
    <w:rsid w:val="00087FD5"/>
    <w:rsid w:val="00090C13"/>
    <w:rsid w:val="00092346"/>
    <w:rsid w:val="00093C1B"/>
    <w:rsid w:val="0009454C"/>
    <w:rsid w:val="000949B8"/>
    <w:rsid w:val="000A0DEF"/>
    <w:rsid w:val="000A7546"/>
    <w:rsid w:val="000A7FF8"/>
    <w:rsid w:val="000B07F3"/>
    <w:rsid w:val="000B2DFB"/>
    <w:rsid w:val="000B589E"/>
    <w:rsid w:val="000C0C7B"/>
    <w:rsid w:val="000C56A4"/>
    <w:rsid w:val="000C5A77"/>
    <w:rsid w:val="000C7681"/>
    <w:rsid w:val="000D2BDF"/>
    <w:rsid w:val="000D2DDF"/>
    <w:rsid w:val="000E0014"/>
    <w:rsid w:val="000E0932"/>
    <w:rsid w:val="000E3023"/>
    <w:rsid w:val="000E37E1"/>
    <w:rsid w:val="000E3A66"/>
    <w:rsid w:val="000E4409"/>
    <w:rsid w:val="000F1B60"/>
    <w:rsid w:val="000F41D1"/>
    <w:rsid w:val="00100DC4"/>
    <w:rsid w:val="00101045"/>
    <w:rsid w:val="001054AF"/>
    <w:rsid w:val="001116ED"/>
    <w:rsid w:val="00113B94"/>
    <w:rsid w:val="00113C1E"/>
    <w:rsid w:val="00114565"/>
    <w:rsid w:val="0011703B"/>
    <w:rsid w:val="001178C7"/>
    <w:rsid w:val="00127294"/>
    <w:rsid w:val="00127841"/>
    <w:rsid w:val="00127844"/>
    <w:rsid w:val="00127FFD"/>
    <w:rsid w:val="00132116"/>
    <w:rsid w:val="001326C5"/>
    <w:rsid w:val="001334A9"/>
    <w:rsid w:val="00136B2C"/>
    <w:rsid w:val="001379F2"/>
    <w:rsid w:val="00142420"/>
    <w:rsid w:val="00146E13"/>
    <w:rsid w:val="001502CE"/>
    <w:rsid w:val="001522D2"/>
    <w:rsid w:val="00152D6E"/>
    <w:rsid w:val="0015336B"/>
    <w:rsid w:val="00153843"/>
    <w:rsid w:val="00160689"/>
    <w:rsid w:val="00163DB5"/>
    <w:rsid w:val="00173151"/>
    <w:rsid w:val="0017711C"/>
    <w:rsid w:val="0018043B"/>
    <w:rsid w:val="00181919"/>
    <w:rsid w:val="0018285E"/>
    <w:rsid w:val="0018304C"/>
    <w:rsid w:val="001847A4"/>
    <w:rsid w:val="00184A9B"/>
    <w:rsid w:val="00185F60"/>
    <w:rsid w:val="001919A3"/>
    <w:rsid w:val="00194167"/>
    <w:rsid w:val="00194830"/>
    <w:rsid w:val="0019536C"/>
    <w:rsid w:val="001A4411"/>
    <w:rsid w:val="001B063D"/>
    <w:rsid w:val="001B354F"/>
    <w:rsid w:val="001C05F3"/>
    <w:rsid w:val="001C1B41"/>
    <w:rsid w:val="001C437D"/>
    <w:rsid w:val="001C758B"/>
    <w:rsid w:val="001D1B5B"/>
    <w:rsid w:val="001D2305"/>
    <w:rsid w:val="001D28B0"/>
    <w:rsid w:val="001D3172"/>
    <w:rsid w:val="001D330B"/>
    <w:rsid w:val="001D5712"/>
    <w:rsid w:val="001E16D2"/>
    <w:rsid w:val="001E2D57"/>
    <w:rsid w:val="001E32ED"/>
    <w:rsid w:val="001E52BD"/>
    <w:rsid w:val="001E5E93"/>
    <w:rsid w:val="001F1362"/>
    <w:rsid w:val="00210993"/>
    <w:rsid w:val="002116E2"/>
    <w:rsid w:val="00211C8D"/>
    <w:rsid w:val="00212AE1"/>
    <w:rsid w:val="00220618"/>
    <w:rsid w:val="002212AE"/>
    <w:rsid w:val="002226C3"/>
    <w:rsid w:val="002248C2"/>
    <w:rsid w:val="002270E9"/>
    <w:rsid w:val="00227148"/>
    <w:rsid w:val="00232BAE"/>
    <w:rsid w:val="0024447C"/>
    <w:rsid w:val="002517E2"/>
    <w:rsid w:val="00260DFD"/>
    <w:rsid w:val="002614EF"/>
    <w:rsid w:val="00261964"/>
    <w:rsid w:val="00261F2D"/>
    <w:rsid w:val="002633BC"/>
    <w:rsid w:val="00263E10"/>
    <w:rsid w:val="00266E71"/>
    <w:rsid w:val="0026715F"/>
    <w:rsid w:val="00270393"/>
    <w:rsid w:val="0027217B"/>
    <w:rsid w:val="00272E80"/>
    <w:rsid w:val="00273DAB"/>
    <w:rsid w:val="002758B2"/>
    <w:rsid w:val="00275B02"/>
    <w:rsid w:val="002837AE"/>
    <w:rsid w:val="00284C56"/>
    <w:rsid w:val="00297AA7"/>
    <w:rsid w:val="002A26BC"/>
    <w:rsid w:val="002A54B0"/>
    <w:rsid w:val="002A695A"/>
    <w:rsid w:val="002A6E01"/>
    <w:rsid w:val="002A752D"/>
    <w:rsid w:val="002B0BCC"/>
    <w:rsid w:val="002B11EB"/>
    <w:rsid w:val="002B27AC"/>
    <w:rsid w:val="002B5D12"/>
    <w:rsid w:val="002B7FF5"/>
    <w:rsid w:val="002C1307"/>
    <w:rsid w:val="002C2A48"/>
    <w:rsid w:val="002C55F0"/>
    <w:rsid w:val="002D06AE"/>
    <w:rsid w:val="002D1E6B"/>
    <w:rsid w:val="002D24E6"/>
    <w:rsid w:val="002E0C71"/>
    <w:rsid w:val="002E1B1D"/>
    <w:rsid w:val="002E2499"/>
    <w:rsid w:val="002E3B5E"/>
    <w:rsid w:val="002E4D97"/>
    <w:rsid w:val="002F219E"/>
    <w:rsid w:val="002F23D4"/>
    <w:rsid w:val="002F45C1"/>
    <w:rsid w:val="002F50A1"/>
    <w:rsid w:val="002F53B4"/>
    <w:rsid w:val="003017B9"/>
    <w:rsid w:val="00306B78"/>
    <w:rsid w:val="0030729E"/>
    <w:rsid w:val="003109D2"/>
    <w:rsid w:val="00316210"/>
    <w:rsid w:val="00322059"/>
    <w:rsid w:val="00330199"/>
    <w:rsid w:val="003339DB"/>
    <w:rsid w:val="0033432A"/>
    <w:rsid w:val="00337CF9"/>
    <w:rsid w:val="00343AC5"/>
    <w:rsid w:val="003454F4"/>
    <w:rsid w:val="00350EBB"/>
    <w:rsid w:val="0035143A"/>
    <w:rsid w:val="003528DF"/>
    <w:rsid w:val="0035304E"/>
    <w:rsid w:val="00354938"/>
    <w:rsid w:val="00361F3B"/>
    <w:rsid w:val="00364B38"/>
    <w:rsid w:val="0036507A"/>
    <w:rsid w:val="00367884"/>
    <w:rsid w:val="0036795F"/>
    <w:rsid w:val="00370F53"/>
    <w:rsid w:val="00373F02"/>
    <w:rsid w:val="003851A1"/>
    <w:rsid w:val="00385A5F"/>
    <w:rsid w:val="00385FBC"/>
    <w:rsid w:val="003867CD"/>
    <w:rsid w:val="003875E1"/>
    <w:rsid w:val="00387AF6"/>
    <w:rsid w:val="00390CF3"/>
    <w:rsid w:val="0039274A"/>
    <w:rsid w:val="00394013"/>
    <w:rsid w:val="003A690D"/>
    <w:rsid w:val="003A71D0"/>
    <w:rsid w:val="003A7EB1"/>
    <w:rsid w:val="003B0E4B"/>
    <w:rsid w:val="003B1413"/>
    <w:rsid w:val="003B4A95"/>
    <w:rsid w:val="003B6CB7"/>
    <w:rsid w:val="003B77FE"/>
    <w:rsid w:val="003C2978"/>
    <w:rsid w:val="003C50E4"/>
    <w:rsid w:val="003C687F"/>
    <w:rsid w:val="003C6BC3"/>
    <w:rsid w:val="003C7E10"/>
    <w:rsid w:val="003D1370"/>
    <w:rsid w:val="003D2888"/>
    <w:rsid w:val="003D59EA"/>
    <w:rsid w:val="003D77F4"/>
    <w:rsid w:val="003E0EC3"/>
    <w:rsid w:val="003E1CDC"/>
    <w:rsid w:val="003E4548"/>
    <w:rsid w:val="003E6826"/>
    <w:rsid w:val="003E6D88"/>
    <w:rsid w:val="003E74E9"/>
    <w:rsid w:val="003F0C68"/>
    <w:rsid w:val="003F208B"/>
    <w:rsid w:val="003F2B1C"/>
    <w:rsid w:val="003F4C8E"/>
    <w:rsid w:val="003F6C1D"/>
    <w:rsid w:val="003F6CEB"/>
    <w:rsid w:val="003F7E83"/>
    <w:rsid w:val="004008E8"/>
    <w:rsid w:val="00403515"/>
    <w:rsid w:val="00404C8B"/>
    <w:rsid w:val="00407FB6"/>
    <w:rsid w:val="00411343"/>
    <w:rsid w:val="00416531"/>
    <w:rsid w:val="00417D48"/>
    <w:rsid w:val="00420226"/>
    <w:rsid w:val="00421A9C"/>
    <w:rsid w:val="00422B91"/>
    <w:rsid w:val="004242EE"/>
    <w:rsid w:val="0042584E"/>
    <w:rsid w:val="00434C4B"/>
    <w:rsid w:val="00435A71"/>
    <w:rsid w:val="00436689"/>
    <w:rsid w:val="00436C00"/>
    <w:rsid w:val="00437533"/>
    <w:rsid w:val="00443A5D"/>
    <w:rsid w:val="00445319"/>
    <w:rsid w:val="00445BEE"/>
    <w:rsid w:val="00452110"/>
    <w:rsid w:val="00452630"/>
    <w:rsid w:val="00453FD4"/>
    <w:rsid w:val="00455B33"/>
    <w:rsid w:val="00460BE2"/>
    <w:rsid w:val="00460D32"/>
    <w:rsid w:val="00460E67"/>
    <w:rsid w:val="00463394"/>
    <w:rsid w:val="00463958"/>
    <w:rsid w:val="004653ED"/>
    <w:rsid w:val="004675F5"/>
    <w:rsid w:val="004711F8"/>
    <w:rsid w:val="004733CC"/>
    <w:rsid w:val="00483D4C"/>
    <w:rsid w:val="0048749B"/>
    <w:rsid w:val="00491222"/>
    <w:rsid w:val="00491292"/>
    <w:rsid w:val="0049372E"/>
    <w:rsid w:val="00496B79"/>
    <w:rsid w:val="004A1D1E"/>
    <w:rsid w:val="004A3972"/>
    <w:rsid w:val="004A5661"/>
    <w:rsid w:val="004A5D67"/>
    <w:rsid w:val="004A67C5"/>
    <w:rsid w:val="004A692B"/>
    <w:rsid w:val="004B098A"/>
    <w:rsid w:val="004C32A9"/>
    <w:rsid w:val="004C4BCF"/>
    <w:rsid w:val="004D256B"/>
    <w:rsid w:val="004D42FE"/>
    <w:rsid w:val="004D4A2F"/>
    <w:rsid w:val="004D5A56"/>
    <w:rsid w:val="004D5F48"/>
    <w:rsid w:val="004D67B4"/>
    <w:rsid w:val="004E0D0D"/>
    <w:rsid w:val="004E278A"/>
    <w:rsid w:val="004E3CA6"/>
    <w:rsid w:val="004F0C01"/>
    <w:rsid w:val="004F4785"/>
    <w:rsid w:val="004F6058"/>
    <w:rsid w:val="00500F1B"/>
    <w:rsid w:val="00502201"/>
    <w:rsid w:val="0050401B"/>
    <w:rsid w:val="00504D31"/>
    <w:rsid w:val="00512C58"/>
    <w:rsid w:val="00513244"/>
    <w:rsid w:val="00514496"/>
    <w:rsid w:val="0052029B"/>
    <w:rsid w:val="005210F1"/>
    <w:rsid w:val="00524619"/>
    <w:rsid w:val="0053097F"/>
    <w:rsid w:val="00542A60"/>
    <w:rsid w:val="0054647C"/>
    <w:rsid w:val="00551656"/>
    <w:rsid w:val="005537FD"/>
    <w:rsid w:val="005558F7"/>
    <w:rsid w:val="0055637B"/>
    <w:rsid w:val="00556F16"/>
    <w:rsid w:val="005601AC"/>
    <w:rsid w:val="00570DA1"/>
    <w:rsid w:val="005767CD"/>
    <w:rsid w:val="0058005E"/>
    <w:rsid w:val="005840E5"/>
    <w:rsid w:val="0058447E"/>
    <w:rsid w:val="005873DE"/>
    <w:rsid w:val="0059269B"/>
    <w:rsid w:val="00595762"/>
    <w:rsid w:val="005971D2"/>
    <w:rsid w:val="005A0C04"/>
    <w:rsid w:val="005A0C11"/>
    <w:rsid w:val="005A20DC"/>
    <w:rsid w:val="005A2149"/>
    <w:rsid w:val="005A38DE"/>
    <w:rsid w:val="005A49EF"/>
    <w:rsid w:val="005B0E08"/>
    <w:rsid w:val="005B1FF3"/>
    <w:rsid w:val="005B27CB"/>
    <w:rsid w:val="005B58DC"/>
    <w:rsid w:val="005B6B60"/>
    <w:rsid w:val="005C2A43"/>
    <w:rsid w:val="005D2525"/>
    <w:rsid w:val="005D274A"/>
    <w:rsid w:val="005D4ABE"/>
    <w:rsid w:val="005D620F"/>
    <w:rsid w:val="005E122C"/>
    <w:rsid w:val="005E14F6"/>
    <w:rsid w:val="005E2889"/>
    <w:rsid w:val="005E29C4"/>
    <w:rsid w:val="005E3F60"/>
    <w:rsid w:val="005E6CB6"/>
    <w:rsid w:val="005F01B3"/>
    <w:rsid w:val="005F589B"/>
    <w:rsid w:val="005F60F1"/>
    <w:rsid w:val="006009B6"/>
    <w:rsid w:val="00605B1D"/>
    <w:rsid w:val="00610624"/>
    <w:rsid w:val="0061098F"/>
    <w:rsid w:val="0061507B"/>
    <w:rsid w:val="006154CC"/>
    <w:rsid w:val="00620963"/>
    <w:rsid w:val="006209E5"/>
    <w:rsid w:val="00630DBF"/>
    <w:rsid w:val="00634868"/>
    <w:rsid w:val="00635521"/>
    <w:rsid w:val="00637D0D"/>
    <w:rsid w:val="00640AEC"/>
    <w:rsid w:val="006435B9"/>
    <w:rsid w:val="00644AC9"/>
    <w:rsid w:val="00647CAC"/>
    <w:rsid w:val="006515BF"/>
    <w:rsid w:val="006523DF"/>
    <w:rsid w:val="00652DD3"/>
    <w:rsid w:val="0065335B"/>
    <w:rsid w:val="0065448C"/>
    <w:rsid w:val="00655AE4"/>
    <w:rsid w:val="006616E5"/>
    <w:rsid w:val="00670CA0"/>
    <w:rsid w:val="0068531E"/>
    <w:rsid w:val="006863C1"/>
    <w:rsid w:val="00690905"/>
    <w:rsid w:val="006917B8"/>
    <w:rsid w:val="0069759A"/>
    <w:rsid w:val="006A6FA5"/>
    <w:rsid w:val="006A70BE"/>
    <w:rsid w:val="006B5870"/>
    <w:rsid w:val="006B61FC"/>
    <w:rsid w:val="006C0FB6"/>
    <w:rsid w:val="006C1836"/>
    <w:rsid w:val="006C24F7"/>
    <w:rsid w:val="006C31D6"/>
    <w:rsid w:val="006C53A3"/>
    <w:rsid w:val="006C5BB8"/>
    <w:rsid w:val="006C5E38"/>
    <w:rsid w:val="006C6B20"/>
    <w:rsid w:val="006C7EE5"/>
    <w:rsid w:val="006D0BFB"/>
    <w:rsid w:val="006D2257"/>
    <w:rsid w:val="006D4D6A"/>
    <w:rsid w:val="006D7F03"/>
    <w:rsid w:val="006D7FFA"/>
    <w:rsid w:val="006E00A5"/>
    <w:rsid w:val="006E248F"/>
    <w:rsid w:val="006E4983"/>
    <w:rsid w:val="006E5BB7"/>
    <w:rsid w:val="006E6965"/>
    <w:rsid w:val="006F0E75"/>
    <w:rsid w:val="006F1936"/>
    <w:rsid w:val="006F1FDB"/>
    <w:rsid w:val="006F2AB2"/>
    <w:rsid w:val="006F47A1"/>
    <w:rsid w:val="006F7174"/>
    <w:rsid w:val="006F7731"/>
    <w:rsid w:val="006F7A31"/>
    <w:rsid w:val="00701D65"/>
    <w:rsid w:val="00703076"/>
    <w:rsid w:val="00706580"/>
    <w:rsid w:val="00706DAA"/>
    <w:rsid w:val="007077F2"/>
    <w:rsid w:val="00723980"/>
    <w:rsid w:val="007264FB"/>
    <w:rsid w:val="00727606"/>
    <w:rsid w:val="00736C24"/>
    <w:rsid w:val="00745BEB"/>
    <w:rsid w:val="0074713B"/>
    <w:rsid w:val="00752886"/>
    <w:rsid w:val="00754C59"/>
    <w:rsid w:val="00754E86"/>
    <w:rsid w:val="00757DA5"/>
    <w:rsid w:val="00761463"/>
    <w:rsid w:val="00762D64"/>
    <w:rsid w:val="00763102"/>
    <w:rsid w:val="0076485A"/>
    <w:rsid w:val="007651AA"/>
    <w:rsid w:val="007664A0"/>
    <w:rsid w:val="007739CB"/>
    <w:rsid w:val="00774295"/>
    <w:rsid w:val="00777A75"/>
    <w:rsid w:val="007804EB"/>
    <w:rsid w:val="0078072C"/>
    <w:rsid w:val="00780FE7"/>
    <w:rsid w:val="007829F0"/>
    <w:rsid w:val="0078583C"/>
    <w:rsid w:val="00786744"/>
    <w:rsid w:val="00792071"/>
    <w:rsid w:val="00792A2C"/>
    <w:rsid w:val="0079473C"/>
    <w:rsid w:val="00795B93"/>
    <w:rsid w:val="007971B0"/>
    <w:rsid w:val="007974E5"/>
    <w:rsid w:val="00797EE4"/>
    <w:rsid w:val="007A251F"/>
    <w:rsid w:val="007A278A"/>
    <w:rsid w:val="007A559A"/>
    <w:rsid w:val="007A6086"/>
    <w:rsid w:val="007A618A"/>
    <w:rsid w:val="007B02A0"/>
    <w:rsid w:val="007B3348"/>
    <w:rsid w:val="007B5BE0"/>
    <w:rsid w:val="007C1A4E"/>
    <w:rsid w:val="007C2152"/>
    <w:rsid w:val="007C39C1"/>
    <w:rsid w:val="007C695A"/>
    <w:rsid w:val="007C7A50"/>
    <w:rsid w:val="007D09CA"/>
    <w:rsid w:val="007D2EDC"/>
    <w:rsid w:val="007D4609"/>
    <w:rsid w:val="007D49E7"/>
    <w:rsid w:val="007D5656"/>
    <w:rsid w:val="007D6E94"/>
    <w:rsid w:val="007E2B43"/>
    <w:rsid w:val="007E78F4"/>
    <w:rsid w:val="007F2D7B"/>
    <w:rsid w:val="007F6203"/>
    <w:rsid w:val="007F7066"/>
    <w:rsid w:val="007F7947"/>
    <w:rsid w:val="008006E5"/>
    <w:rsid w:val="00802456"/>
    <w:rsid w:val="00803E34"/>
    <w:rsid w:val="008147E3"/>
    <w:rsid w:val="008162D6"/>
    <w:rsid w:val="008163D9"/>
    <w:rsid w:val="008167A2"/>
    <w:rsid w:val="00817C13"/>
    <w:rsid w:val="00825BF1"/>
    <w:rsid w:val="008279A4"/>
    <w:rsid w:val="0083061E"/>
    <w:rsid w:val="00832048"/>
    <w:rsid w:val="008327A2"/>
    <w:rsid w:val="00832CBF"/>
    <w:rsid w:val="00834B4F"/>
    <w:rsid w:val="00841CCC"/>
    <w:rsid w:val="00843D1F"/>
    <w:rsid w:val="00846674"/>
    <w:rsid w:val="00847C18"/>
    <w:rsid w:val="00850050"/>
    <w:rsid w:val="0085760B"/>
    <w:rsid w:val="008620C7"/>
    <w:rsid w:val="00862A6A"/>
    <w:rsid w:val="00863367"/>
    <w:rsid w:val="008651C1"/>
    <w:rsid w:val="00865664"/>
    <w:rsid w:val="00866FA3"/>
    <w:rsid w:val="00870C48"/>
    <w:rsid w:val="00872BBF"/>
    <w:rsid w:val="00872C94"/>
    <w:rsid w:val="0087792C"/>
    <w:rsid w:val="00880445"/>
    <w:rsid w:val="00882B42"/>
    <w:rsid w:val="008932BD"/>
    <w:rsid w:val="00894DB5"/>
    <w:rsid w:val="008A380E"/>
    <w:rsid w:val="008B3237"/>
    <w:rsid w:val="008B38AC"/>
    <w:rsid w:val="008B7848"/>
    <w:rsid w:val="008C3743"/>
    <w:rsid w:val="008C3D4F"/>
    <w:rsid w:val="008C457C"/>
    <w:rsid w:val="008C5590"/>
    <w:rsid w:val="008C62B3"/>
    <w:rsid w:val="008D0B2E"/>
    <w:rsid w:val="008D2CF8"/>
    <w:rsid w:val="008D2D84"/>
    <w:rsid w:val="008D503B"/>
    <w:rsid w:val="008D5499"/>
    <w:rsid w:val="008D5C74"/>
    <w:rsid w:val="008E4054"/>
    <w:rsid w:val="008F31B0"/>
    <w:rsid w:val="008F42CC"/>
    <w:rsid w:val="008F66C8"/>
    <w:rsid w:val="008F7C1E"/>
    <w:rsid w:val="00906413"/>
    <w:rsid w:val="00907DDD"/>
    <w:rsid w:val="00907E22"/>
    <w:rsid w:val="00915559"/>
    <w:rsid w:val="009157F5"/>
    <w:rsid w:val="0091628E"/>
    <w:rsid w:val="009170A4"/>
    <w:rsid w:val="0092461D"/>
    <w:rsid w:val="009263EA"/>
    <w:rsid w:val="00927D95"/>
    <w:rsid w:val="0093434C"/>
    <w:rsid w:val="00937F14"/>
    <w:rsid w:val="00943F56"/>
    <w:rsid w:val="009444FE"/>
    <w:rsid w:val="00945BD2"/>
    <w:rsid w:val="0094720E"/>
    <w:rsid w:val="00952103"/>
    <w:rsid w:val="00954C2D"/>
    <w:rsid w:val="00954EBB"/>
    <w:rsid w:val="009554F4"/>
    <w:rsid w:val="009565CA"/>
    <w:rsid w:val="00956ABF"/>
    <w:rsid w:val="00957B57"/>
    <w:rsid w:val="00957C23"/>
    <w:rsid w:val="00960518"/>
    <w:rsid w:val="00962111"/>
    <w:rsid w:val="0096459C"/>
    <w:rsid w:val="00967C84"/>
    <w:rsid w:val="00967D39"/>
    <w:rsid w:val="00970443"/>
    <w:rsid w:val="00970A3B"/>
    <w:rsid w:val="009710C3"/>
    <w:rsid w:val="009718F7"/>
    <w:rsid w:val="00975D00"/>
    <w:rsid w:val="009767F7"/>
    <w:rsid w:val="0097690B"/>
    <w:rsid w:val="00984C88"/>
    <w:rsid w:val="0098767E"/>
    <w:rsid w:val="009902CE"/>
    <w:rsid w:val="00991F23"/>
    <w:rsid w:val="00992A5D"/>
    <w:rsid w:val="00992D6C"/>
    <w:rsid w:val="0099313C"/>
    <w:rsid w:val="00994649"/>
    <w:rsid w:val="0099516C"/>
    <w:rsid w:val="00996FBE"/>
    <w:rsid w:val="00997629"/>
    <w:rsid w:val="009A0E22"/>
    <w:rsid w:val="009A5E0B"/>
    <w:rsid w:val="009A6C64"/>
    <w:rsid w:val="009A6C94"/>
    <w:rsid w:val="009B0EEB"/>
    <w:rsid w:val="009B1A80"/>
    <w:rsid w:val="009B42D2"/>
    <w:rsid w:val="009B4431"/>
    <w:rsid w:val="009B4493"/>
    <w:rsid w:val="009B5300"/>
    <w:rsid w:val="009B609D"/>
    <w:rsid w:val="009B64ED"/>
    <w:rsid w:val="009C1D8C"/>
    <w:rsid w:val="009C674E"/>
    <w:rsid w:val="009D2281"/>
    <w:rsid w:val="009D6966"/>
    <w:rsid w:val="009D6D83"/>
    <w:rsid w:val="009E06BE"/>
    <w:rsid w:val="009E1AE1"/>
    <w:rsid w:val="009E45B6"/>
    <w:rsid w:val="009F0511"/>
    <w:rsid w:val="009F27D5"/>
    <w:rsid w:val="009F3B28"/>
    <w:rsid w:val="00A016DD"/>
    <w:rsid w:val="00A02149"/>
    <w:rsid w:val="00A03C0D"/>
    <w:rsid w:val="00A03C62"/>
    <w:rsid w:val="00A05D82"/>
    <w:rsid w:val="00A0690A"/>
    <w:rsid w:val="00A07AEC"/>
    <w:rsid w:val="00A111B9"/>
    <w:rsid w:val="00A143A5"/>
    <w:rsid w:val="00A15813"/>
    <w:rsid w:val="00A167C3"/>
    <w:rsid w:val="00A21323"/>
    <w:rsid w:val="00A2206D"/>
    <w:rsid w:val="00A234A6"/>
    <w:rsid w:val="00A23627"/>
    <w:rsid w:val="00A24001"/>
    <w:rsid w:val="00A249A6"/>
    <w:rsid w:val="00A269A8"/>
    <w:rsid w:val="00A27FAB"/>
    <w:rsid w:val="00A307F1"/>
    <w:rsid w:val="00A418E2"/>
    <w:rsid w:val="00A440FF"/>
    <w:rsid w:val="00A44757"/>
    <w:rsid w:val="00A4754A"/>
    <w:rsid w:val="00A50776"/>
    <w:rsid w:val="00A52883"/>
    <w:rsid w:val="00A52A3C"/>
    <w:rsid w:val="00A541D5"/>
    <w:rsid w:val="00A56EA3"/>
    <w:rsid w:val="00A57F8B"/>
    <w:rsid w:val="00A625F1"/>
    <w:rsid w:val="00A676B2"/>
    <w:rsid w:val="00A67772"/>
    <w:rsid w:val="00A70442"/>
    <w:rsid w:val="00A75D1B"/>
    <w:rsid w:val="00A77EEF"/>
    <w:rsid w:val="00A81ECD"/>
    <w:rsid w:val="00A830B3"/>
    <w:rsid w:val="00A846A9"/>
    <w:rsid w:val="00A8656A"/>
    <w:rsid w:val="00A86657"/>
    <w:rsid w:val="00A907E2"/>
    <w:rsid w:val="00A91A2B"/>
    <w:rsid w:val="00A943CF"/>
    <w:rsid w:val="00A94FB4"/>
    <w:rsid w:val="00A95BDB"/>
    <w:rsid w:val="00A962F0"/>
    <w:rsid w:val="00AA216B"/>
    <w:rsid w:val="00AA3266"/>
    <w:rsid w:val="00AA405F"/>
    <w:rsid w:val="00AA54C1"/>
    <w:rsid w:val="00AB10D7"/>
    <w:rsid w:val="00AB51CB"/>
    <w:rsid w:val="00AC7522"/>
    <w:rsid w:val="00AD0451"/>
    <w:rsid w:val="00AD56CA"/>
    <w:rsid w:val="00AD7B65"/>
    <w:rsid w:val="00AE1249"/>
    <w:rsid w:val="00AE1788"/>
    <w:rsid w:val="00AE4054"/>
    <w:rsid w:val="00AE5AAB"/>
    <w:rsid w:val="00AE64D4"/>
    <w:rsid w:val="00AE749F"/>
    <w:rsid w:val="00AE7A01"/>
    <w:rsid w:val="00AF0BFF"/>
    <w:rsid w:val="00AF6F36"/>
    <w:rsid w:val="00B0452F"/>
    <w:rsid w:val="00B107FA"/>
    <w:rsid w:val="00B13D56"/>
    <w:rsid w:val="00B26004"/>
    <w:rsid w:val="00B333BA"/>
    <w:rsid w:val="00B37692"/>
    <w:rsid w:val="00B40B07"/>
    <w:rsid w:val="00B45BE5"/>
    <w:rsid w:val="00B45F82"/>
    <w:rsid w:val="00B51A3B"/>
    <w:rsid w:val="00B607CA"/>
    <w:rsid w:val="00B60F1D"/>
    <w:rsid w:val="00B61997"/>
    <w:rsid w:val="00B654D7"/>
    <w:rsid w:val="00B6552E"/>
    <w:rsid w:val="00B6692D"/>
    <w:rsid w:val="00B66ADE"/>
    <w:rsid w:val="00B67CD9"/>
    <w:rsid w:val="00B703AA"/>
    <w:rsid w:val="00B776DB"/>
    <w:rsid w:val="00B8147D"/>
    <w:rsid w:val="00B843FA"/>
    <w:rsid w:val="00B92254"/>
    <w:rsid w:val="00BA0DF7"/>
    <w:rsid w:val="00BA41A3"/>
    <w:rsid w:val="00BA7729"/>
    <w:rsid w:val="00BB027B"/>
    <w:rsid w:val="00BB0FD1"/>
    <w:rsid w:val="00BB1A24"/>
    <w:rsid w:val="00BB1BA2"/>
    <w:rsid w:val="00BB5273"/>
    <w:rsid w:val="00BB551B"/>
    <w:rsid w:val="00BB7054"/>
    <w:rsid w:val="00BB7157"/>
    <w:rsid w:val="00BB7E1A"/>
    <w:rsid w:val="00BC0425"/>
    <w:rsid w:val="00BC0C41"/>
    <w:rsid w:val="00BC1A22"/>
    <w:rsid w:val="00BC5B1D"/>
    <w:rsid w:val="00BC6776"/>
    <w:rsid w:val="00BD0311"/>
    <w:rsid w:val="00BD10C4"/>
    <w:rsid w:val="00BD48D9"/>
    <w:rsid w:val="00BD53ED"/>
    <w:rsid w:val="00BE4D0D"/>
    <w:rsid w:val="00BF0903"/>
    <w:rsid w:val="00BF457D"/>
    <w:rsid w:val="00BF494D"/>
    <w:rsid w:val="00BF5276"/>
    <w:rsid w:val="00BF5364"/>
    <w:rsid w:val="00C01A9B"/>
    <w:rsid w:val="00C02EBD"/>
    <w:rsid w:val="00C04D19"/>
    <w:rsid w:val="00C11021"/>
    <w:rsid w:val="00C12DE3"/>
    <w:rsid w:val="00C21AD1"/>
    <w:rsid w:val="00C23FE8"/>
    <w:rsid w:val="00C30329"/>
    <w:rsid w:val="00C309B8"/>
    <w:rsid w:val="00C3126F"/>
    <w:rsid w:val="00C31486"/>
    <w:rsid w:val="00C31DF0"/>
    <w:rsid w:val="00C32845"/>
    <w:rsid w:val="00C34284"/>
    <w:rsid w:val="00C3532E"/>
    <w:rsid w:val="00C36EE0"/>
    <w:rsid w:val="00C37629"/>
    <w:rsid w:val="00C45477"/>
    <w:rsid w:val="00C47A43"/>
    <w:rsid w:val="00C53F60"/>
    <w:rsid w:val="00C554DD"/>
    <w:rsid w:val="00C55FB8"/>
    <w:rsid w:val="00C5707D"/>
    <w:rsid w:val="00C66B5F"/>
    <w:rsid w:val="00C73DEE"/>
    <w:rsid w:val="00C76DE5"/>
    <w:rsid w:val="00C77B20"/>
    <w:rsid w:val="00C77FF7"/>
    <w:rsid w:val="00C80C15"/>
    <w:rsid w:val="00C84078"/>
    <w:rsid w:val="00C85A9D"/>
    <w:rsid w:val="00C86309"/>
    <w:rsid w:val="00C87BCC"/>
    <w:rsid w:val="00C90303"/>
    <w:rsid w:val="00C9116F"/>
    <w:rsid w:val="00C92D7A"/>
    <w:rsid w:val="00CA080E"/>
    <w:rsid w:val="00CA54AE"/>
    <w:rsid w:val="00CA6568"/>
    <w:rsid w:val="00CA76E6"/>
    <w:rsid w:val="00CB06B0"/>
    <w:rsid w:val="00CB46F9"/>
    <w:rsid w:val="00CB53F0"/>
    <w:rsid w:val="00CB551D"/>
    <w:rsid w:val="00CB6A51"/>
    <w:rsid w:val="00CC2ED0"/>
    <w:rsid w:val="00CC4018"/>
    <w:rsid w:val="00CC5310"/>
    <w:rsid w:val="00CC60A7"/>
    <w:rsid w:val="00CD2510"/>
    <w:rsid w:val="00CD3908"/>
    <w:rsid w:val="00CD44A6"/>
    <w:rsid w:val="00CD506C"/>
    <w:rsid w:val="00CD5CDF"/>
    <w:rsid w:val="00CD7FDE"/>
    <w:rsid w:val="00CD7FE6"/>
    <w:rsid w:val="00CE7D65"/>
    <w:rsid w:val="00CF21AB"/>
    <w:rsid w:val="00CF2491"/>
    <w:rsid w:val="00CF3043"/>
    <w:rsid w:val="00CF3785"/>
    <w:rsid w:val="00CF5E46"/>
    <w:rsid w:val="00CF758B"/>
    <w:rsid w:val="00D000A8"/>
    <w:rsid w:val="00D00261"/>
    <w:rsid w:val="00D00D83"/>
    <w:rsid w:val="00D01C4C"/>
    <w:rsid w:val="00D04864"/>
    <w:rsid w:val="00D07E02"/>
    <w:rsid w:val="00D12C51"/>
    <w:rsid w:val="00D133BB"/>
    <w:rsid w:val="00D16B34"/>
    <w:rsid w:val="00D2132F"/>
    <w:rsid w:val="00D2288F"/>
    <w:rsid w:val="00D23BFF"/>
    <w:rsid w:val="00D256F4"/>
    <w:rsid w:val="00D26A5C"/>
    <w:rsid w:val="00D30E8B"/>
    <w:rsid w:val="00D30F7C"/>
    <w:rsid w:val="00D33AA9"/>
    <w:rsid w:val="00D36B73"/>
    <w:rsid w:val="00D40840"/>
    <w:rsid w:val="00D410C1"/>
    <w:rsid w:val="00D43441"/>
    <w:rsid w:val="00D44256"/>
    <w:rsid w:val="00D448A0"/>
    <w:rsid w:val="00D46114"/>
    <w:rsid w:val="00D476B6"/>
    <w:rsid w:val="00D544C6"/>
    <w:rsid w:val="00D55D08"/>
    <w:rsid w:val="00D67D2B"/>
    <w:rsid w:val="00D7050B"/>
    <w:rsid w:val="00D72B06"/>
    <w:rsid w:val="00D734E5"/>
    <w:rsid w:val="00D76638"/>
    <w:rsid w:val="00D77239"/>
    <w:rsid w:val="00D85695"/>
    <w:rsid w:val="00D85773"/>
    <w:rsid w:val="00D85F80"/>
    <w:rsid w:val="00D92432"/>
    <w:rsid w:val="00D941C1"/>
    <w:rsid w:val="00D94C20"/>
    <w:rsid w:val="00D953D7"/>
    <w:rsid w:val="00D97669"/>
    <w:rsid w:val="00D979E6"/>
    <w:rsid w:val="00DA38E7"/>
    <w:rsid w:val="00DA471A"/>
    <w:rsid w:val="00DB14C1"/>
    <w:rsid w:val="00DB22A1"/>
    <w:rsid w:val="00DB42A1"/>
    <w:rsid w:val="00DB6CD6"/>
    <w:rsid w:val="00DC440B"/>
    <w:rsid w:val="00DC652A"/>
    <w:rsid w:val="00DC6D60"/>
    <w:rsid w:val="00DD2D14"/>
    <w:rsid w:val="00DD69EE"/>
    <w:rsid w:val="00DD7DF8"/>
    <w:rsid w:val="00DE56F6"/>
    <w:rsid w:val="00DF24DE"/>
    <w:rsid w:val="00DF2806"/>
    <w:rsid w:val="00DF2AC5"/>
    <w:rsid w:val="00DF573C"/>
    <w:rsid w:val="00DF577C"/>
    <w:rsid w:val="00E003C5"/>
    <w:rsid w:val="00E01342"/>
    <w:rsid w:val="00E04DA2"/>
    <w:rsid w:val="00E04E58"/>
    <w:rsid w:val="00E055C9"/>
    <w:rsid w:val="00E11046"/>
    <w:rsid w:val="00E13A4E"/>
    <w:rsid w:val="00E1433A"/>
    <w:rsid w:val="00E14870"/>
    <w:rsid w:val="00E20BE8"/>
    <w:rsid w:val="00E21F4A"/>
    <w:rsid w:val="00E2280D"/>
    <w:rsid w:val="00E23203"/>
    <w:rsid w:val="00E2458B"/>
    <w:rsid w:val="00E25911"/>
    <w:rsid w:val="00E26AB9"/>
    <w:rsid w:val="00E33CAC"/>
    <w:rsid w:val="00E3550A"/>
    <w:rsid w:val="00E429CA"/>
    <w:rsid w:val="00E452A0"/>
    <w:rsid w:val="00E57133"/>
    <w:rsid w:val="00E60228"/>
    <w:rsid w:val="00E63170"/>
    <w:rsid w:val="00E639E1"/>
    <w:rsid w:val="00E63C67"/>
    <w:rsid w:val="00E64B0B"/>
    <w:rsid w:val="00E6604D"/>
    <w:rsid w:val="00E6613B"/>
    <w:rsid w:val="00E770AA"/>
    <w:rsid w:val="00E800FF"/>
    <w:rsid w:val="00E80610"/>
    <w:rsid w:val="00E84B84"/>
    <w:rsid w:val="00E92E6F"/>
    <w:rsid w:val="00EA2868"/>
    <w:rsid w:val="00EA369B"/>
    <w:rsid w:val="00EA5A79"/>
    <w:rsid w:val="00EC20E7"/>
    <w:rsid w:val="00EC339A"/>
    <w:rsid w:val="00EC381E"/>
    <w:rsid w:val="00EC4E8A"/>
    <w:rsid w:val="00EC5658"/>
    <w:rsid w:val="00EC56D3"/>
    <w:rsid w:val="00EC76F4"/>
    <w:rsid w:val="00EC7D8B"/>
    <w:rsid w:val="00ED39A7"/>
    <w:rsid w:val="00ED6905"/>
    <w:rsid w:val="00ED690B"/>
    <w:rsid w:val="00ED7E5A"/>
    <w:rsid w:val="00EE17D7"/>
    <w:rsid w:val="00EE3F2F"/>
    <w:rsid w:val="00EE6387"/>
    <w:rsid w:val="00EF049B"/>
    <w:rsid w:val="00EF169D"/>
    <w:rsid w:val="00EF1AC1"/>
    <w:rsid w:val="00EF31D1"/>
    <w:rsid w:val="00EF3F63"/>
    <w:rsid w:val="00EF58EF"/>
    <w:rsid w:val="00EF7A95"/>
    <w:rsid w:val="00F01137"/>
    <w:rsid w:val="00F0369D"/>
    <w:rsid w:val="00F06C6A"/>
    <w:rsid w:val="00F07BBF"/>
    <w:rsid w:val="00F11A3E"/>
    <w:rsid w:val="00F16165"/>
    <w:rsid w:val="00F2128A"/>
    <w:rsid w:val="00F222DA"/>
    <w:rsid w:val="00F23682"/>
    <w:rsid w:val="00F27CC2"/>
    <w:rsid w:val="00F339A2"/>
    <w:rsid w:val="00F362F6"/>
    <w:rsid w:val="00F36BD8"/>
    <w:rsid w:val="00F42E7E"/>
    <w:rsid w:val="00F43DBB"/>
    <w:rsid w:val="00F44F78"/>
    <w:rsid w:val="00F477FE"/>
    <w:rsid w:val="00F47874"/>
    <w:rsid w:val="00F47FE5"/>
    <w:rsid w:val="00F50355"/>
    <w:rsid w:val="00F5116D"/>
    <w:rsid w:val="00F56919"/>
    <w:rsid w:val="00F614F4"/>
    <w:rsid w:val="00F6201D"/>
    <w:rsid w:val="00F663C1"/>
    <w:rsid w:val="00F70169"/>
    <w:rsid w:val="00F71922"/>
    <w:rsid w:val="00F76C1D"/>
    <w:rsid w:val="00F80AB4"/>
    <w:rsid w:val="00F83EC1"/>
    <w:rsid w:val="00F90A91"/>
    <w:rsid w:val="00F9136E"/>
    <w:rsid w:val="00F91D54"/>
    <w:rsid w:val="00F933DF"/>
    <w:rsid w:val="00FA23F1"/>
    <w:rsid w:val="00FA54CD"/>
    <w:rsid w:val="00FA551C"/>
    <w:rsid w:val="00FA7785"/>
    <w:rsid w:val="00FC5812"/>
    <w:rsid w:val="00FC617E"/>
    <w:rsid w:val="00FD1B9E"/>
    <w:rsid w:val="00FD57A0"/>
    <w:rsid w:val="00FE412A"/>
    <w:rsid w:val="00FE794F"/>
    <w:rsid w:val="00FF23C1"/>
    <w:rsid w:val="00FF2C48"/>
    <w:rsid w:val="00FF2D5C"/>
    <w:rsid w:val="00FF4E87"/>
    <w:rsid w:val="00FF7265"/>
    <w:rsid w:val="00FF7730"/>
    <w:rsid w:val="011C395D"/>
    <w:rsid w:val="016164F7"/>
    <w:rsid w:val="01886E53"/>
    <w:rsid w:val="01C16982"/>
    <w:rsid w:val="022BB9F6"/>
    <w:rsid w:val="023650F5"/>
    <w:rsid w:val="02422ADC"/>
    <w:rsid w:val="02B38A75"/>
    <w:rsid w:val="02C51C72"/>
    <w:rsid w:val="02C56963"/>
    <w:rsid w:val="032CAB5E"/>
    <w:rsid w:val="039EC0A0"/>
    <w:rsid w:val="0413450F"/>
    <w:rsid w:val="045DA28B"/>
    <w:rsid w:val="04ABAEDA"/>
    <w:rsid w:val="061E1558"/>
    <w:rsid w:val="06226C74"/>
    <w:rsid w:val="062A0B4F"/>
    <w:rsid w:val="0655C1D6"/>
    <w:rsid w:val="067198E2"/>
    <w:rsid w:val="07325B1C"/>
    <w:rsid w:val="07FC68ED"/>
    <w:rsid w:val="085A81D0"/>
    <w:rsid w:val="0861A496"/>
    <w:rsid w:val="0908DC6B"/>
    <w:rsid w:val="0945F597"/>
    <w:rsid w:val="09685EFD"/>
    <w:rsid w:val="09BE3F46"/>
    <w:rsid w:val="0A94B0BE"/>
    <w:rsid w:val="0BA197F6"/>
    <w:rsid w:val="0C47FAF9"/>
    <w:rsid w:val="0C8F7821"/>
    <w:rsid w:val="0CB0F789"/>
    <w:rsid w:val="0D778773"/>
    <w:rsid w:val="0D80ECEB"/>
    <w:rsid w:val="0DE713DD"/>
    <w:rsid w:val="0E2AECFE"/>
    <w:rsid w:val="0E87010A"/>
    <w:rsid w:val="0EEEDDCD"/>
    <w:rsid w:val="0F69E31F"/>
    <w:rsid w:val="10F9E3FC"/>
    <w:rsid w:val="113249CF"/>
    <w:rsid w:val="1170E402"/>
    <w:rsid w:val="11D2BEE1"/>
    <w:rsid w:val="12D8437C"/>
    <w:rsid w:val="13237839"/>
    <w:rsid w:val="135166AF"/>
    <w:rsid w:val="136AA9CC"/>
    <w:rsid w:val="1410D0CB"/>
    <w:rsid w:val="157049FE"/>
    <w:rsid w:val="15BC82DB"/>
    <w:rsid w:val="1610B28F"/>
    <w:rsid w:val="16413299"/>
    <w:rsid w:val="1658B741"/>
    <w:rsid w:val="167E1BAE"/>
    <w:rsid w:val="16990DFE"/>
    <w:rsid w:val="16C5F2E3"/>
    <w:rsid w:val="16F5AABE"/>
    <w:rsid w:val="1730D395"/>
    <w:rsid w:val="17494C2F"/>
    <w:rsid w:val="17693E3B"/>
    <w:rsid w:val="17E5E828"/>
    <w:rsid w:val="17F6DDA5"/>
    <w:rsid w:val="18662E69"/>
    <w:rsid w:val="1934170E"/>
    <w:rsid w:val="19C4E277"/>
    <w:rsid w:val="19C7A052"/>
    <w:rsid w:val="1A2A8F64"/>
    <w:rsid w:val="1A57A4E0"/>
    <w:rsid w:val="1A7703CD"/>
    <w:rsid w:val="1AD63B7B"/>
    <w:rsid w:val="1BE5D286"/>
    <w:rsid w:val="1C04441A"/>
    <w:rsid w:val="1C802B76"/>
    <w:rsid w:val="1D087668"/>
    <w:rsid w:val="1D97E303"/>
    <w:rsid w:val="1DDC7709"/>
    <w:rsid w:val="1E213AD0"/>
    <w:rsid w:val="1E99C77D"/>
    <w:rsid w:val="1E99E767"/>
    <w:rsid w:val="1ED6CE95"/>
    <w:rsid w:val="1EDDD3DF"/>
    <w:rsid w:val="1F62A870"/>
    <w:rsid w:val="1FA32A5C"/>
    <w:rsid w:val="1FCA85E4"/>
    <w:rsid w:val="2019F400"/>
    <w:rsid w:val="2021CC5D"/>
    <w:rsid w:val="208A6529"/>
    <w:rsid w:val="214ED526"/>
    <w:rsid w:val="2153C66D"/>
    <w:rsid w:val="21D36678"/>
    <w:rsid w:val="21F4174D"/>
    <w:rsid w:val="22157B90"/>
    <w:rsid w:val="226E9A10"/>
    <w:rsid w:val="22E7D04F"/>
    <w:rsid w:val="23472D13"/>
    <w:rsid w:val="23523F51"/>
    <w:rsid w:val="239198A1"/>
    <w:rsid w:val="23C293FC"/>
    <w:rsid w:val="23DBA843"/>
    <w:rsid w:val="245FEEBC"/>
    <w:rsid w:val="2482A12B"/>
    <w:rsid w:val="256362CB"/>
    <w:rsid w:val="26466ECC"/>
    <w:rsid w:val="26C7BF48"/>
    <w:rsid w:val="275B4C12"/>
    <w:rsid w:val="276A9019"/>
    <w:rsid w:val="2796AF7B"/>
    <w:rsid w:val="28190B37"/>
    <w:rsid w:val="2848D29B"/>
    <w:rsid w:val="2849CFF3"/>
    <w:rsid w:val="284CA491"/>
    <w:rsid w:val="28C280B4"/>
    <w:rsid w:val="2942634C"/>
    <w:rsid w:val="294D5C69"/>
    <w:rsid w:val="298CFC46"/>
    <w:rsid w:val="29CE2545"/>
    <w:rsid w:val="29E0E499"/>
    <w:rsid w:val="2A183181"/>
    <w:rsid w:val="2A3D1FA6"/>
    <w:rsid w:val="2A713CF6"/>
    <w:rsid w:val="2A9A5C25"/>
    <w:rsid w:val="2A9E0DA5"/>
    <w:rsid w:val="2AB146B3"/>
    <w:rsid w:val="2AD41F0A"/>
    <w:rsid w:val="2B0E3C9B"/>
    <w:rsid w:val="2B3272B4"/>
    <w:rsid w:val="2B5D780F"/>
    <w:rsid w:val="2C74E3A2"/>
    <w:rsid w:val="2C8544B0"/>
    <w:rsid w:val="2CD57B3B"/>
    <w:rsid w:val="2D71A3EC"/>
    <w:rsid w:val="2DE3A02E"/>
    <w:rsid w:val="2E195CE0"/>
    <w:rsid w:val="2E857BD8"/>
    <w:rsid w:val="2EC3B40F"/>
    <w:rsid w:val="2EE3160F"/>
    <w:rsid w:val="2EEA73FE"/>
    <w:rsid w:val="2F4CC6BA"/>
    <w:rsid w:val="2F7305FE"/>
    <w:rsid w:val="2F8DBB6F"/>
    <w:rsid w:val="2FF61C09"/>
    <w:rsid w:val="313AEA3C"/>
    <w:rsid w:val="31F6882C"/>
    <w:rsid w:val="328A0C37"/>
    <w:rsid w:val="32D69F0D"/>
    <w:rsid w:val="331D9F8F"/>
    <w:rsid w:val="3342D34A"/>
    <w:rsid w:val="338022D3"/>
    <w:rsid w:val="34F59FE4"/>
    <w:rsid w:val="3566DAF1"/>
    <w:rsid w:val="356BD0CD"/>
    <w:rsid w:val="358FA5E0"/>
    <w:rsid w:val="35BF75DA"/>
    <w:rsid w:val="360C58F2"/>
    <w:rsid w:val="3666B8F4"/>
    <w:rsid w:val="369E2DB6"/>
    <w:rsid w:val="3711E67D"/>
    <w:rsid w:val="373E3046"/>
    <w:rsid w:val="373E5186"/>
    <w:rsid w:val="37443A31"/>
    <w:rsid w:val="37751C9A"/>
    <w:rsid w:val="37B8B5C2"/>
    <w:rsid w:val="3829AD57"/>
    <w:rsid w:val="38375D8C"/>
    <w:rsid w:val="387208DF"/>
    <w:rsid w:val="3872BB52"/>
    <w:rsid w:val="389509FE"/>
    <w:rsid w:val="38BD3C71"/>
    <w:rsid w:val="38C8DF14"/>
    <w:rsid w:val="38EA0C7F"/>
    <w:rsid w:val="38F9B287"/>
    <w:rsid w:val="39769A00"/>
    <w:rsid w:val="399C021B"/>
    <w:rsid w:val="39D71750"/>
    <w:rsid w:val="3A05F281"/>
    <w:rsid w:val="3A55C280"/>
    <w:rsid w:val="3ACA6253"/>
    <w:rsid w:val="3ACCB2FB"/>
    <w:rsid w:val="3B277598"/>
    <w:rsid w:val="3B307871"/>
    <w:rsid w:val="3B44AFA2"/>
    <w:rsid w:val="3B5EC76D"/>
    <w:rsid w:val="3B70B57B"/>
    <w:rsid w:val="3B72112B"/>
    <w:rsid w:val="3BA6842E"/>
    <w:rsid w:val="3BD3B41B"/>
    <w:rsid w:val="3BEFB972"/>
    <w:rsid w:val="3BF55696"/>
    <w:rsid w:val="3C1AD249"/>
    <w:rsid w:val="3C1DDC3B"/>
    <w:rsid w:val="3C91869B"/>
    <w:rsid w:val="3CC71A4F"/>
    <w:rsid w:val="3D5CD2BA"/>
    <w:rsid w:val="3DE4A10A"/>
    <w:rsid w:val="3E1059B4"/>
    <w:rsid w:val="3EC0FD76"/>
    <w:rsid w:val="3FA733CB"/>
    <w:rsid w:val="3FB7AA18"/>
    <w:rsid w:val="3FBFF49C"/>
    <w:rsid w:val="3FF0E5A2"/>
    <w:rsid w:val="4029CD47"/>
    <w:rsid w:val="40417CAF"/>
    <w:rsid w:val="405A17A4"/>
    <w:rsid w:val="40635FAE"/>
    <w:rsid w:val="410F6487"/>
    <w:rsid w:val="411F28C4"/>
    <w:rsid w:val="414F29A8"/>
    <w:rsid w:val="41943631"/>
    <w:rsid w:val="41D01ED1"/>
    <w:rsid w:val="425C0B84"/>
    <w:rsid w:val="42949C09"/>
    <w:rsid w:val="42FDA441"/>
    <w:rsid w:val="43359A3E"/>
    <w:rsid w:val="4341BF83"/>
    <w:rsid w:val="43EC5FA7"/>
    <w:rsid w:val="44591D00"/>
    <w:rsid w:val="445C498C"/>
    <w:rsid w:val="44785689"/>
    <w:rsid w:val="44A84B5C"/>
    <w:rsid w:val="44A9758B"/>
    <w:rsid w:val="455E1A06"/>
    <w:rsid w:val="456D60FB"/>
    <w:rsid w:val="45E81538"/>
    <w:rsid w:val="461058D7"/>
    <w:rsid w:val="46F51E4A"/>
    <w:rsid w:val="4703AD95"/>
    <w:rsid w:val="47623705"/>
    <w:rsid w:val="4777CFB8"/>
    <w:rsid w:val="4780905C"/>
    <w:rsid w:val="47E9861B"/>
    <w:rsid w:val="49194704"/>
    <w:rsid w:val="495C4680"/>
    <w:rsid w:val="49F30B36"/>
    <w:rsid w:val="4AE078E8"/>
    <w:rsid w:val="4B16DE45"/>
    <w:rsid w:val="4B22F169"/>
    <w:rsid w:val="4B4ABD18"/>
    <w:rsid w:val="4BC30CDD"/>
    <w:rsid w:val="4C0194D0"/>
    <w:rsid w:val="4C94E272"/>
    <w:rsid w:val="4D00D019"/>
    <w:rsid w:val="4D938CEC"/>
    <w:rsid w:val="4D949472"/>
    <w:rsid w:val="4E159F02"/>
    <w:rsid w:val="4EAA708E"/>
    <w:rsid w:val="4EE8D9A6"/>
    <w:rsid w:val="4F480328"/>
    <w:rsid w:val="4FD5C4EF"/>
    <w:rsid w:val="4FF3FD09"/>
    <w:rsid w:val="50D876E9"/>
    <w:rsid w:val="510B7993"/>
    <w:rsid w:val="513BFD1C"/>
    <w:rsid w:val="51EB5597"/>
    <w:rsid w:val="528FC70A"/>
    <w:rsid w:val="52C6E4C4"/>
    <w:rsid w:val="533706CB"/>
    <w:rsid w:val="53F3E69B"/>
    <w:rsid w:val="542838A7"/>
    <w:rsid w:val="5480265A"/>
    <w:rsid w:val="55391F35"/>
    <w:rsid w:val="557A73BC"/>
    <w:rsid w:val="55EA7027"/>
    <w:rsid w:val="564A64CE"/>
    <w:rsid w:val="573D6C33"/>
    <w:rsid w:val="574791D7"/>
    <w:rsid w:val="57502B37"/>
    <w:rsid w:val="57AADE99"/>
    <w:rsid w:val="57CAA513"/>
    <w:rsid w:val="5804C987"/>
    <w:rsid w:val="587C2458"/>
    <w:rsid w:val="58A960F6"/>
    <w:rsid w:val="58EBECE2"/>
    <w:rsid w:val="59D15275"/>
    <w:rsid w:val="5A8FFEFD"/>
    <w:rsid w:val="5AC46C8A"/>
    <w:rsid w:val="5AFC8E1B"/>
    <w:rsid w:val="5B26ED89"/>
    <w:rsid w:val="5C27C572"/>
    <w:rsid w:val="5C2C6DAF"/>
    <w:rsid w:val="5C4DD547"/>
    <w:rsid w:val="5CB7D9C6"/>
    <w:rsid w:val="5D1291AA"/>
    <w:rsid w:val="5D737208"/>
    <w:rsid w:val="5E127CE9"/>
    <w:rsid w:val="5E3F38FA"/>
    <w:rsid w:val="5EC55408"/>
    <w:rsid w:val="5ECE6E00"/>
    <w:rsid w:val="5F2F7E64"/>
    <w:rsid w:val="5F53D588"/>
    <w:rsid w:val="5F57B324"/>
    <w:rsid w:val="5F6623F9"/>
    <w:rsid w:val="5F77420D"/>
    <w:rsid w:val="5FB138A7"/>
    <w:rsid w:val="5FC67F75"/>
    <w:rsid w:val="5FCBB47F"/>
    <w:rsid w:val="5FEB1227"/>
    <w:rsid w:val="5FF5A7FB"/>
    <w:rsid w:val="5FF607D4"/>
    <w:rsid w:val="6112EF13"/>
    <w:rsid w:val="61A98294"/>
    <w:rsid w:val="623A3CE6"/>
    <w:rsid w:val="627D7C4E"/>
    <w:rsid w:val="630C39DA"/>
    <w:rsid w:val="636F8E63"/>
    <w:rsid w:val="64846570"/>
    <w:rsid w:val="64F10AFC"/>
    <w:rsid w:val="64FFBFCC"/>
    <w:rsid w:val="651BACE7"/>
    <w:rsid w:val="6529E320"/>
    <w:rsid w:val="65E4CBCC"/>
    <w:rsid w:val="65E7B348"/>
    <w:rsid w:val="6651B55A"/>
    <w:rsid w:val="67244AB5"/>
    <w:rsid w:val="677ED12F"/>
    <w:rsid w:val="6813A5B5"/>
    <w:rsid w:val="68717722"/>
    <w:rsid w:val="68F8A095"/>
    <w:rsid w:val="694FC16B"/>
    <w:rsid w:val="69A683D4"/>
    <w:rsid w:val="69E79823"/>
    <w:rsid w:val="6A20CE22"/>
    <w:rsid w:val="6A2BE0D8"/>
    <w:rsid w:val="6A354CD2"/>
    <w:rsid w:val="6B048F42"/>
    <w:rsid w:val="6B4EC43C"/>
    <w:rsid w:val="6B78DF00"/>
    <w:rsid w:val="6CA26F87"/>
    <w:rsid w:val="6CC221E0"/>
    <w:rsid w:val="6CFF47C2"/>
    <w:rsid w:val="6E302574"/>
    <w:rsid w:val="6EDBEBB2"/>
    <w:rsid w:val="6FABF65A"/>
    <w:rsid w:val="6FC0A45B"/>
    <w:rsid w:val="6FC5F7FA"/>
    <w:rsid w:val="6FEC5768"/>
    <w:rsid w:val="70263290"/>
    <w:rsid w:val="707D1E4E"/>
    <w:rsid w:val="70B6D9F3"/>
    <w:rsid w:val="714579D3"/>
    <w:rsid w:val="717D320E"/>
    <w:rsid w:val="729B437E"/>
    <w:rsid w:val="72B77A2D"/>
    <w:rsid w:val="74007D5A"/>
    <w:rsid w:val="7420C56B"/>
    <w:rsid w:val="74AE26C9"/>
    <w:rsid w:val="74DAA484"/>
    <w:rsid w:val="757659EB"/>
    <w:rsid w:val="75BEE834"/>
    <w:rsid w:val="76B2D97A"/>
    <w:rsid w:val="771694DB"/>
    <w:rsid w:val="7753339E"/>
    <w:rsid w:val="7754DB3A"/>
    <w:rsid w:val="77F7BF0E"/>
    <w:rsid w:val="78035504"/>
    <w:rsid w:val="7854A115"/>
    <w:rsid w:val="786C3876"/>
    <w:rsid w:val="78C086EB"/>
    <w:rsid w:val="78CDE0D6"/>
    <w:rsid w:val="7904B320"/>
    <w:rsid w:val="79DD04C5"/>
    <w:rsid w:val="7A46437B"/>
    <w:rsid w:val="7B6A0B48"/>
    <w:rsid w:val="7B8A544E"/>
    <w:rsid w:val="7B8F71F1"/>
    <w:rsid w:val="7BA5BF49"/>
    <w:rsid w:val="7BBF4996"/>
    <w:rsid w:val="7BF3B626"/>
    <w:rsid w:val="7C56499B"/>
    <w:rsid w:val="7C632FC2"/>
    <w:rsid w:val="7C6D9628"/>
    <w:rsid w:val="7CB1EF75"/>
    <w:rsid w:val="7D7F9F98"/>
    <w:rsid w:val="7DEACF3F"/>
    <w:rsid w:val="7DEFCCD6"/>
    <w:rsid w:val="7DF5FECB"/>
    <w:rsid w:val="7E39D806"/>
    <w:rsid w:val="7E556403"/>
    <w:rsid w:val="7E5D6DEA"/>
    <w:rsid w:val="7E7D2A70"/>
    <w:rsid w:val="7ED534B7"/>
    <w:rsid w:val="7F14CD3B"/>
    <w:rsid w:val="7F3CF708"/>
    <w:rsid w:val="7F85D5CB"/>
    <w:rsid w:val="7FAD6EB4"/>
    <w:rsid w:val="9FBE9320"/>
    <w:rsid w:val="B3FE5D8A"/>
    <w:rsid w:val="B9FFECB8"/>
    <w:rsid w:val="BBFEE1FE"/>
    <w:rsid w:val="BFFD4DCA"/>
    <w:rsid w:val="CABD6D34"/>
    <w:rsid w:val="CEDF5A11"/>
    <w:rsid w:val="CF75BEB5"/>
    <w:rsid w:val="DF6FAE51"/>
    <w:rsid w:val="E8B797B1"/>
    <w:rsid w:val="EB3F288C"/>
    <w:rsid w:val="F636830F"/>
    <w:rsid w:val="F71D558F"/>
    <w:rsid w:val="F7735C9B"/>
    <w:rsid w:val="F7AD2425"/>
    <w:rsid w:val="F7FFAB72"/>
    <w:rsid w:val="FB372508"/>
    <w:rsid w:val="FB3A61FE"/>
    <w:rsid w:val="FD3DDA31"/>
    <w:rsid w:val="FEF5CFD3"/>
    <w:rsid w:val="FF1D2C65"/>
    <w:rsid w:val="FFF6EB09"/>
    <w:rsid w:val="FFFFB9C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Aptos" w:hAnsi="Aptos" w:eastAsia="宋体" w:cs="Arial"/>
      <w:kern w:val="2"/>
      <w:sz w:val="24"/>
      <w:szCs w:val="24"/>
      <w:lang w:val="en-GB" w:eastAsia="en-US" w:bidi="ar-SA"/>
    </w:rPr>
  </w:style>
  <w:style w:type="paragraph" w:styleId="2">
    <w:name w:val="heading 1"/>
    <w:basedOn w:val="1"/>
    <w:next w:val="1"/>
    <w:link w:val="24"/>
    <w:qFormat/>
    <w:uiPriority w:val="9"/>
    <w:pPr>
      <w:keepNext/>
      <w:keepLines/>
      <w:spacing w:before="360" w:after="80"/>
      <w:outlineLvl w:val="0"/>
    </w:pPr>
    <w:rPr>
      <w:rFonts w:ascii="Aptos Display" w:hAnsi="Aptos Display" w:eastAsia="游ゴシック Light" w:cs="Times New Roman"/>
      <w:color w:val="86162C"/>
      <w:sz w:val="40"/>
      <w:szCs w:val="40"/>
    </w:rPr>
  </w:style>
  <w:style w:type="paragraph" w:styleId="3">
    <w:name w:val="heading 2"/>
    <w:basedOn w:val="1"/>
    <w:next w:val="1"/>
    <w:link w:val="25"/>
    <w:unhideWhenUsed/>
    <w:qFormat/>
    <w:uiPriority w:val="9"/>
    <w:pPr>
      <w:keepNext/>
      <w:keepLines/>
      <w:spacing w:before="160" w:after="80"/>
      <w:outlineLvl w:val="1"/>
    </w:pPr>
    <w:rPr>
      <w:rFonts w:ascii="Aptos Display" w:hAnsi="Aptos Display" w:eastAsia="游ゴシック Light" w:cs="Times New Roman"/>
      <w:color w:val="86162C"/>
      <w:sz w:val="32"/>
      <w:szCs w:val="32"/>
    </w:rPr>
  </w:style>
  <w:style w:type="paragraph" w:styleId="4">
    <w:name w:val="heading 3"/>
    <w:basedOn w:val="1"/>
    <w:next w:val="1"/>
    <w:link w:val="26"/>
    <w:unhideWhenUsed/>
    <w:qFormat/>
    <w:uiPriority w:val="9"/>
    <w:pPr>
      <w:keepNext/>
      <w:keepLines/>
      <w:spacing w:before="160" w:after="80"/>
      <w:outlineLvl w:val="2"/>
    </w:pPr>
    <w:rPr>
      <w:rFonts w:eastAsia="游ゴシック Light" w:cs="Times New Roman"/>
      <w:color w:val="86162C"/>
      <w:sz w:val="28"/>
      <w:szCs w:val="28"/>
    </w:rPr>
  </w:style>
  <w:style w:type="paragraph" w:styleId="5">
    <w:name w:val="heading 4"/>
    <w:basedOn w:val="1"/>
    <w:next w:val="1"/>
    <w:link w:val="27"/>
    <w:unhideWhenUsed/>
    <w:qFormat/>
    <w:uiPriority w:val="9"/>
    <w:pPr>
      <w:keepNext/>
      <w:keepLines/>
      <w:spacing w:before="80" w:after="40"/>
      <w:outlineLvl w:val="3"/>
    </w:pPr>
    <w:rPr>
      <w:rFonts w:eastAsia="游ゴシック Light" w:cs="Times New Roman"/>
      <w:i/>
      <w:iCs/>
      <w:color w:val="86162C"/>
    </w:rPr>
  </w:style>
  <w:style w:type="paragraph" w:styleId="6">
    <w:name w:val="heading 5"/>
    <w:basedOn w:val="1"/>
    <w:next w:val="1"/>
    <w:link w:val="28"/>
    <w:unhideWhenUsed/>
    <w:qFormat/>
    <w:uiPriority w:val="9"/>
    <w:pPr>
      <w:keepNext/>
      <w:keepLines/>
      <w:spacing w:before="80" w:after="40"/>
      <w:outlineLvl w:val="4"/>
    </w:pPr>
    <w:rPr>
      <w:rFonts w:eastAsia="游ゴシック Light" w:cs="Times New Roman"/>
      <w:color w:val="86162C"/>
    </w:rPr>
  </w:style>
  <w:style w:type="paragraph" w:styleId="7">
    <w:name w:val="heading 6"/>
    <w:basedOn w:val="1"/>
    <w:next w:val="1"/>
    <w:link w:val="29"/>
    <w:unhideWhenUsed/>
    <w:qFormat/>
    <w:uiPriority w:val="9"/>
    <w:pPr>
      <w:keepNext/>
      <w:keepLines/>
      <w:spacing w:before="40" w:after="0"/>
      <w:outlineLvl w:val="5"/>
    </w:pPr>
    <w:rPr>
      <w:rFonts w:eastAsia="游ゴシック Light" w:cs="Times New Roman"/>
      <w:i/>
      <w:iCs/>
      <w:color w:val="979899"/>
    </w:rPr>
  </w:style>
  <w:style w:type="paragraph" w:styleId="8">
    <w:name w:val="heading 7"/>
    <w:basedOn w:val="1"/>
    <w:next w:val="1"/>
    <w:link w:val="30"/>
    <w:unhideWhenUsed/>
    <w:qFormat/>
    <w:uiPriority w:val="9"/>
    <w:pPr>
      <w:keepNext/>
      <w:keepLines/>
      <w:spacing w:before="40" w:after="0"/>
      <w:outlineLvl w:val="6"/>
    </w:pPr>
    <w:rPr>
      <w:rFonts w:eastAsia="游ゴシック Light" w:cs="Times New Roman"/>
      <w:color w:val="979899"/>
    </w:rPr>
  </w:style>
  <w:style w:type="paragraph" w:styleId="9">
    <w:name w:val="heading 8"/>
    <w:basedOn w:val="1"/>
    <w:next w:val="1"/>
    <w:link w:val="31"/>
    <w:unhideWhenUsed/>
    <w:qFormat/>
    <w:uiPriority w:val="9"/>
    <w:pPr>
      <w:keepNext/>
      <w:keepLines/>
      <w:spacing w:after="0"/>
      <w:outlineLvl w:val="7"/>
    </w:pPr>
    <w:rPr>
      <w:rFonts w:eastAsia="游ゴシック Light" w:cs="Times New Roman"/>
      <w:i/>
      <w:iCs/>
      <w:color w:val="777879"/>
    </w:rPr>
  </w:style>
  <w:style w:type="paragraph" w:styleId="10">
    <w:name w:val="heading 9"/>
    <w:basedOn w:val="1"/>
    <w:next w:val="1"/>
    <w:link w:val="32"/>
    <w:unhideWhenUsed/>
    <w:qFormat/>
    <w:uiPriority w:val="9"/>
    <w:pPr>
      <w:keepNext/>
      <w:keepLines/>
      <w:spacing w:after="0"/>
      <w:outlineLvl w:val="8"/>
    </w:pPr>
    <w:rPr>
      <w:rFonts w:eastAsia="游ゴシック Light" w:cs="Times New Roman"/>
      <w:color w:val="777879"/>
    </w:rPr>
  </w:style>
  <w:style w:type="character" w:default="1" w:styleId="19">
    <w:name w:val="Default Paragraph Font"/>
    <w:unhideWhenUsed/>
    <w:qFormat/>
    <w:uiPriority w:val="1"/>
  </w:style>
  <w:style w:type="table" w:default="1" w:styleId="18">
    <w:name w:val="Normal Table"/>
    <w:unhideWhenUsed/>
    <w:qFormat/>
    <w:uiPriority w:val="99"/>
    <w:tblPr>
      <w:tblStyle w:val="18"/>
      <w:tblCellMar>
        <w:top w:w="0" w:type="dxa"/>
        <w:left w:w="108" w:type="dxa"/>
        <w:bottom w:w="0" w:type="dxa"/>
        <w:right w:w="108" w:type="dxa"/>
      </w:tblCellMar>
    </w:tblPr>
  </w:style>
  <w:style w:type="paragraph" w:styleId="11">
    <w:name w:val="annotation text"/>
    <w:basedOn w:val="1"/>
    <w:link w:val="33"/>
    <w:unhideWhenUsed/>
    <w:qFormat/>
    <w:uiPriority w:val="99"/>
    <w:pPr>
      <w:spacing w:line="240" w:lineRule="auto"/>
    </w:pPr>
    <w:rPr>
      <w:sz w:val="20"/>
      <w:szCs w:val="20"/>
    </w:rPr>
  </w:style>
  <w:style w:type="paragraph" w:styleId="12">
    <w:name w:val="footer"/>
    <w:basedOn w:val="1"/>
    <w:link w:val="34"/>
    <w:unhideWhenUsed/>
    <w:qFormat/>
    <w:uiPriority w:val="99"/>
    <w:pPr>
      <w:tabs>
        <w:tab w:val="center" w:pos="4513"/>
        <w:tab w:val="right" w:pos="9026"/>
      </w:tabs>
      <w:spacing w:after="0" w:line="240" w:lineRule="auto"/>
    </w:pPr>
  </w:style>
  <w:style w:type="paragraph" w:styleId="13">
    <w:name w:val="header"/>
    <w:basedOn w:val="1"/>
    <w:link w:val="35"/>
    <w:unhideWhenUsed/>
    <w:qFormat/>
    <w:uiPriority w:val="99"/>
    <w:pPr>
      <w:tabs>
        <w:tab w:val="center" w:pos="4513"/>
        <w:tab w:val="right" w:pos="9026"/>
      </w:tabs>
      <w:spacing w:after="0" w:line="240" w:lineRule="auto"/>
    </w:pPr>
  </w:style>
  <w:style w:type="paragraph" w:styleId="14">
    <w:name w:val="Subtitle"/>
    <w:basedOn w:val="1"/>
    <w:next w:val="1"/>
    <w:link w:val="36"/>
    <w:qFormat/>
    <w:uiPriority w:val="11"/>
    <w:rPr>
      <w:rFonts w:eastAsia="游ゴシック Light" w:cs="Times New Roman"/>
      <w:color w:val="979899"/>
      <w:spacing w:val="15"/>
      <w:sz w:val="28"/>
      <w:szCs w:val="28"/>
    </w:rPr>
  </w:style>
  <w:style w:type="paragraph" w:styleId="15">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paragraph" w:styleId="16">
    <w:name w:val="Title"/>
    <w:basedOn w:val="1"/>
    <w:next w:val="1"/>
    <w:link w:val="37"/>
    <w:qFormat/>
    <w:uiPriority w:val="10"/>
    <w:pPr>
      <w:spacing w:after="80" w:line="240" w:lineRule="auto"/>
      <w:contextualSpacing/>
    </w:pPr>
    <w:rPr>
      <w:rFonts w:ascii="Aptos Display" w:hAnsi="Aptos Display" w:eastAsia="游ゴシック Light" w:cs="Times New Roman"/>
      <w:spacing w:val="-10"/>
      <w:kern w:val="28"/>
      <w:sz w:val="56"/>
      <w:szCs w:val="56"/>
    </w:rPr>
  </w:style>
  <w:style w:type="paragraph" w:styleId="17">
    <w:name w:val="annotation subject"/>
    <w:basedOn w:val="11"/>
    <w:next w:val="11"/>
    <w:link w:val="38"/>
    <w:unhideWhenUsed/>
    <w:qFormat/>
    <w:uiPriority w:val="99"/>
    <w:rPr>
      <w:b/>
      <w:bCs/>
    </w:rPr>
  </w:style>
  <w:style w:type="character" w:styleId="20">
    <w:name w:val="Strong"/>
    <w:basedOn w:val="19"/>
    <w:qFormat/>
    <w:uiPriority w:val="22"/>
    <w:rPr>
      <w:b/>
    </w:rPr>
  </w:style>
  <w:style w:type="character" w:styleId="21">
    <w:name w:val="FollowedHyperlink"/>
    <w:basedOn w:val="19"/>
    <w:unhideWhenUsed/>
    <w:qFormat/>
    <w:uiPriority w:val="99"/>
    <w:rPr>
      <w:color w:val="5F6061"/>
      <w:u w:val="single"/>
    </w:rPr>
  </w:style>
  <w:style w:type="character" w:styleId="22">
    <w:name w:val="Hyperlink"/>
    <w:basedOn w:val="19"/>
    <w:unhideWhenUsed/>
    <w:qFormat/>
    <w:uiPriority w:val="99"/>
    <w:rPr>
      <w:color w:val="1A99D2"/>
      <w:u w:val="single"/>
    </w:rPr>
  </w:style>
  <w:style w:type="character" w:styleId="23">
    <w:name w:val="annotation reference"/>
    <w:basedOn w:val="19"/>
    <w:unhideWhenUsed/>
    <w:qFormat/>
    <w:uiPriority w:val="99"/>
    <w:rPr>
      <w:sz w:val="16"/>
      <w:szCs w:val="16"/>
    </w:rPr>
  </w:style>
  <w:style w:type="character" w:customStyle="1" w:styleId="24">
    <w:name w:val="Heading 1 Char"/>
    <w:basedOn w:val="19"/>
    <w:link w:val="2"/>
    <w:qFormat/>
    <w:uiPriority w:val="9"/>
    <w:rPr>
      <w:rFonts w:ascii="Aptos Display" w:hAnsi="Aptos Display" w:eastAsia="游ゴシック Light" w:cs="Times New Roman"/>
      <w:color w:val="86162C"/>
      <w:sz w:val="40"/>
      <w:szCs w:val="40"/>
    </w:rPr>
  </w:style>
  <w:style w:type="character" w:customStyle="1" w:styleId="25">
    <w:name w:val="Heading 2 Char"/>
    <w:basedOn w:val="19"/>
    <w:link w:val="3"/>
    <w:qFormat/>
    <w:uiPriority w:val="9"/>
    <w:rPr>
      <w:rFonts w:ascii="Aptos Display" w:hAnsi="Aptos Display" w:eastAsia="游ゴシック Light" w:cs="Times New Roman"/>
      <w:color w:val="86162C"/>
      <w:sz w:val="32"/>
      <w:szCs w:val="32"/>
    </w:rPr>
  </w:style>
  <w:style w:type="character" w:customStyle="1" w:styleId="26">
    <w:name w:val="Heading 3 Char"/>
    <w:basedOn w:val="19"/>
    <w:link w:val="4"/>
    <w:semiHidden/>
    <w:qFormat/>
    <w:uiPriority w:val="9"/>
    <w:rPr>
      <w:rFonts w:eastAsia="游ゴシック Light" w:cs="Times New Roman"/>
      <w:color w:val="86162C"/>
      <w:sz w:val="28"/>
      <w:szCs w:val="28"/>
    </w:rPr>
  </w:style>
  <w:style w:type="character" w:customStyle="1" w:styleId="27">
    <w:name w:val="Heading 4 Char"/>
    <w:basedOn w:val="19"/>
    <w:link w:val="5"/>
    <w:semiHidden/>
    <w:qFormat/>
    <w:uiPriority w:val="9"/>
    <w:rPr>
      <w:rFonts w:eastAsia="游ゴシック Light" w:cs="Times New Roman"/>
      <w:i/>
      <w:iCs/>
      <w:color w:val="86162C"/>
    </w:rPr>
  </w:style>
  <w:style w:type="character" w:customStyle="1" w:styleId="28">
    <w:name w:val="Heading 5 Char"/>
    <w:basedOn w:val="19"/>
    <w:link w:val="6"/>
    <w:semiHidden/>
    <w:qFormat/>
    <w:uiPriority w:val="9"/>
    <w:rPr>
      <w:rFonts w:eastAsia="游ゴシック Light" w:cs="Times New Roman"/>
      <w:color w:val="86162C"/>
    </w:rPr>
  </w:style>
  <w:style w:type="character" w:customStyle="1" w:styleId="29">
    <w:name w:val="Heading 6 Char"/>
    <w:basedOn w:val="19"/>
    <w:link w:val="7"/>
    <w:semiHidden/>
    <w:qFormat/>
    <w:uiPriority w:val="9"/>
    <w:rPr>
      <w:rFonts w:eastAsia="游ゴシック Light" w:cs="Times New Roman"/>
      <w:i/>
      <w:iCs/>
      <w:color w:val="979899"/>
    </w:rPr>
  </w:style>
  <w:style w:type="character" w:customStyle="1" w:styleId="30">
    <w:name w:val="Heading 7 Char"/>
    <w:basedOn w:val="19"/>
    <w:link w:val="8"/>
    <w:semiHidden/>
    <w:qFormat/>
    <w:uiPriority w:val="9"/>
    <w:rPr>
      <w:rFonts w:eastAsia="游ゴシック Light" w:cs="Times New Roman"/>
      <w:color w:val="979899"/>
    </w:rPr>
  </w:style>
  <w:style w:type="character" w:customStyle="1" w:styleId="31">
    <w:name w:val="Heading 8 Char"/>
    <w:basedOn w:val="19"/>
    <w:link w:val="9"/>
    <w:semiHidden/>
    <w:qFormat/>
    <w:uiPriority w:val="9"/>
    <w:rPr>
      <w:rFonts w:eastAsia="游ゴシック Light" w:cs="Times New Roman"/>
      <w:i/>
      <w:iCs/>
      <w:color w:val="777879"/>
    </w:rPr>
  </w:style>
  <w:style w:type="character" w:customStyle="1" w:styleId="32">
    <w:name w:val="Heading 9 Char"/>
    <w:basedOn w:val="19"/>
    <w:link w:val="10"/>
    <w:semiHidden/>
    <w:qFormat/>
    <w:uiPriority w:val="9"/>
    <w:rPr>
      <w:rFonts w:eastAsia="游ゴシック Light" w:cs="Times New Roman"/>
      <w:color w:val="777879"/>
    </w:rPr>
  </w:style>
  <w:style w:type="character" w:customStyle="1" w:styleId="33">
    <w:name w:val="Comment Text Char"/>
    <w:basedOn w:val="19"/>
    <w:link w:val="11"/>
    <w:qFormat/>
    <w:uiPriority w:val="99"/>
    <w:rPr>
      <w:sz w:val="20"/>
      <w:szCs w:val="20"/>
    </w:rPr>
  </w:style>
  <w:style w:type="character" w:customStyle="1" w:styleId="34">
    <w:name w:val="Footer Char"/>
    <w:basedOn w:val="19"/>
    <w:link w:val="12"/>
    <w:qFormat/>
    <w:uiPriority w:val="99"/>
  </w:style>
  <w:style w:type="character" w:customStyle="1" w:styleId="35">
    <w:name w:val="Header Char"/>
    <w:basedOn w:val="19"/>
    <w:link w:val="13"/>
    <w:qFormat/>
    <w:uiPriority w:val="99"/>
  </w:style>
  <w:style w:type="character" w:customStyle="1" w:styleId="36">
    <w:name w:val="Subtitle Char"/>
    <w:basedOn w:val="19"/>
    <w:link w:val="14"/>
    <w:qFormat/>
    <w:uiPriority w:val="11"/>
    <w:rPr>
      <w:rFonts w:eastAsia="游ゴシック Light" w:cs="Times New Roman"/>
      <w:color w:val="979899"/>
      <w:spacing w:val="15"/>
      <w:sz w:val="28"/>
      <w:szCs w:val="28"/>
    </w:rPr>
  </w:style>
  <w:style w:type="character" w:customStyle="1" w:styleId="37">
    <w:name w:val="Title Char"/>
    <w:basedOn w:val="19"/>
    <w:link w:val="16"/>
    <w:qFormat/>
    <w:uiPriority w:val="10"/>
    <w:rPr>
      <w:rFonts w:ascii="Aptos Display" w:hAnsi="Aptos Display" w:eastAsia="游ゴシック Light" w:cs="Times New Roman"/>
      <w:spacing w:val="-10"/>
      <w:kern w:val="28"/>
      <w:sz w:val="56"/>
      <w:szCs w:val="56"/>
    </w:rPr>
  </w:style>
  <w:style w:type="character" w:customStyle="1" w:styleId="38">
    <w:name w:val="Comment Subject Char"/>
    <w:basedOn w:val="33"/>
    <w:link w:val="17"/>
    <w:semiHidden/>
    <w:qFormat/>
    <w:uiPriority w:val="99"/>
    <w:rPr>
      <w:b/>
      <w:bCs/>
      <w:sz w:val="20"/>
      <w:szCs w:val="20"/>
    </w:rPr>
  </w:style>
  <w:style w:type="paragraph" w:styleId="39">
    <w:name w:val="Quote"/>
    <w:basedOn w:val="1"/>
    <w:next w:val="1"/>
    <w:link w:val="40"/>
    <w:qFormat/>
    <w:uiPriority w:val="29"/>
    <w:pPr>
      <w:spacing w:before="160"/>
      <w:jc w:val="center"/>
    </w:pPr>
    <w:rPr>
      <w:i/>
      <w:iCs/>
      <w:color w:val="868789"/>
    </w:rPr>
  </w:style>
  <w:style w:type="character" w:customStyle="1" w:styleId="40">
    <w:name w:val="Quote Char"/>
    <w:basedOn w:val="19"/>
    <w:link w:val="39"/>
    <w:qFormat/>
    <w:uiPriority w:val="29"/>
    <w:rPr>
      <w:i/>
      <w:iCs/>
      <w:color w:val="868789"/>
    </w:rPr>
  </w:style>
  <w:style w:type="paragraph" w:styleId="41">
    <w:name w:val="List Paragraph"/>
    <w:basedOn w:val="1"/>
    <w:link w:val="42"/>
    <w:qFormat/>
    <w:uiPriority w:val="34"/>
    <w:pPr>
      <w:ind w:left="720"/>
      <w:contextualSpacing/>
    </w:pPr>
  </w:style>
  <w:style w:type="character" w:customStyle="1" w:styleId="42">
    <w:name w:val="List Paragraph Char"/>
    <w:basedOn w:val="19"/>
    <w:link w:val="41"/>
    <w:qFormat/>
    <w:uiPriority w:val="34"/>
  </w:style>
  <w:style w:type="character" w:customStyle="1" w:styleId="43">
    <w:name w:val="Intense Emphasis"/>
    <w:basedOn w:val="19"/>
    <w:qFormat/>
    <w:uiPriority w:val="21"/>
    <w:rPr>
      <w:i/>
      <w:iCs/>
      <w:color w:val="86162C"/>
    </w:rPr>
  </w:style>
  <w:style w:type="paragraph" w:styleId="44">
    <w:name w:val="Intense Quote"/>
    <w:basedOn w:val="1"/>
    <w:next w:val="1"/>
    <w:link w:val="45"/>
    <w:qFormat/>
    <w:uiPriority w:val="30"/>
    <w:pPr>
      <w:pBdr>
        <w:top w:val="single" w:color="86162C" w:sz="4" w:space="10"/>
        <w:bottom w:val="single" w:color="86162C" w:sz="4" w:space="10"/>
      </w:pBdr>
      <w:spacing w:before="360" w:after="360"/>
      <w:ind w:left="864" w:right="864"/>
      <w:jc w:val="center"/>
    </w:pPr>
    <w:rPr>
      <w:i/>
      <w:iCs/>
      <w:color w:val="86162C"/>
    </w:rPr>
  </w:style>
  <w:style w:type="character" w:customStyle="1" w:styleId="45">
    <w:name w:val="Intense Quote Char"/>
    <w:basedOn w:val="19"/>
    <w:link w:val="44"/>
    <w:qFormat/>
    <w:uiPriority w:val="30"/>
    <w:rPr>
      <w:i/>
      <w:iCs/>
      <w:color w:val="86162C"/>
    </w:rPr>
  </w:style>
  <w:style w:type="character" w:customStyle="1" w:styleId="46">
    <w:name w:val="Intense Reference"/>
    <w:basedOn w:val="19"/>
    <w:qFormat/>
    <w:uiPriority w:val="32"/>
    <w:rPr>
      <w:b/>
      <w:bCs/>
      <w:smallCaps/>
      <w:color w:val="86162C"/>
      <w:spacing w:val="5"/>
    </w:rPr>
  </w:style>
  <w:style w:type="paragraph" w:customStyle="1" w:styleId="47">
    <w:name w:val="Revision"/>
    <w:semiHidden/>
    <w:qFormat/>
    <w:uiPriority w:val="99"/>
    <w:pPr>
      <w:spacing w:after="0" w:line="240" w:lineRule="auto"/>
    </w:pPr>
    <w:rPr>
      <w:rFonts w:ascii="Aptos" w:hAnsi="Aptos" w:eastAsia="宋体" w:cs="Arial"/>
      <w:kern w:val="2"/>
      <w:sz w:val="24"/>
      <w:szCs w:val="24"/>
      <w:lang w:val="en-GB" w:eastAsia="en-US" w:bidi="ar-SA"/>
    </w:rPr>
  </w:style>
  <w:style w:type="table" w:customStyle="1" w:styleId="48">
    <w:name w:val="Plain Table 2"/>
    <w:basedOn w:val="18"/>
    <w:qFormat/>
    <w:uiPriority w:val="42"/>
    <w:pPr>
      <w:spacing w:after="0" w:line="240" w:lineRule="auto"/>
    </w:pPr>
    <w:tblPr>
      <w:tblStyle w:val="18"/>
      <w:tblBorders>
        <w:top w:val="single" w:color="AEAFB0" w:sz="4" w:space="0"/>
        <w:bottom w:val="single" w:color="AEAFB0" w:sz="4" w:space="0"/>
      </w:tblBorders>
    </w:tblPr>
    <w:tblStylePr w:type="firstRow">
      <w:rPr>
        <w:b/>
        <w:bCs/>
      </w:rPr>
      <w:tblPr>
        <w:tblStyle w:val="18"/>
      </w:tblPr>
      <w:tcPr>
        <w:tcBorders>
          <w:top w:val="nil"/>
          <w:left w:val="nil"/>
          <w:bottom w:val="single" w:color="AEAFB0" w:sz="4" w:space="0"/>
          <w:right w:val="nil"/>
          <w:insideH w:val="nil"/>
          <w:insideV w:val="nil"/>
          <w:tl2br w:val="nil"/>
          <w:tr2bl w:val="nil"/>
        </w:tcBorders>
      </w:tcPr>
    </w:tblStylePr>
    <w:tblStylePr w:type="lastRow">
      <w:rPr>
        <w:b/>
        <w:bCs/>
      </w:rPr>
      <w:tblPr>
        <w:tblStyle w:val="18"/>
      </w:tblPr>
      <w:tcPr>
        <w:tcBorders>
          <w:top w:val="single" w:color="AEAFB0" w:sz="4" w:space="0"/>
          <w:left w:val="nil"/>
          <w:bottom w:val="nil"/>
          <w:right w:val="nil"/>
          <w:insideH w:val="nil"/>
          <w:insideV w:val="nil"/>
          <w:tl2br w:val="nil"/>
          <w:tr2bl w:val="nil"/>
        </w:tcBorders>
      </w:tcPr>
    </w:tblStylePr>
    <w:tblStylePr w:type="firstCol">
      <w:rPr>
        <w:b/>
        <w:bCs/>
      </w:rPr>
      <w:tblPr>
        <w:tblStyle w:val="18"/>
      </w:tblPr>
    </w:tblStylePr>
    <w:tblStylePr w:type="lastCol">
      <w:rPr>
        <w:b/>
        <w:bCs/>
      </w:rPr>
      <w:tblPr>
        <w:tblStyle w:val="18"/>
      </w:tblPr>
    </w:tblStylePr>
    <w:tblStylePr w:type="band1Vert">
      <w:tblPr>
        <w:tblStyle w:val="18"/>
      </w:tblPr>
      <w:tcPr>
        <w:tcBorders>
          <w:top w:val="nil"/>
          <w:left w:val="single" w:color="AEAFB0" w:sz="4" w:space="0"/>
          <w:bottom w:val="nil"/>
          <w:right w:val="single" w:color="AEAFB0" w:sz="4" w:space="0"/>
          <w:insideH w:val="nil"/>
          <w:insideV w:val="nil"/>
          <w:tl2br w:val="nil"/>
          <w:tr2bl w:val="nil"/>
        </w:tcBorders>
      </w:tcPr>
    </w:tblStylePr>
    <w:tblStylePr w:type="band2Vert">
      <w:tblPr>
        <w:tblStyle w:val="18"/>
      </w:tblPr>
      <w:tcPr>
        <w:tcBorders>
          <w:top w:val="nil"/>
          <w:left w:val="single" w:color="AEAFB0" w:sz="4" w:space="0"/>
          <w:bottom w:val="nil"/>
          <w:right w:val="single" w:color="AEAFB0" w:sz="4" w:space="0"/>
          <w:insideH w:val="nil"/>
          <w:insideV w:val="nil"/>
          <w:tl2br w:val="nil"/>
          <w:tr2bl w:val="nil"/>
        </w:tcBorders>
      </w:tcPr>
    </w:tblStylePr>
    <w:tblStylePr w:type="band1Horz">
      <w:tblPr>
        <w:tblStyle w:val="18"/>
      </w:tblPr>
      <w:tcPr>
        <w:tcBorders>
          <w:top w:val="single" w:color="AEAFB0" w:sz="4" w:space="0"/>
          <w:left w:val="nil"/>
          <w:bottom w:val="single" w:color="AEAFB0" w:sz="4" w:space="0"/>
          <w:right w:val="nil"/>
          <w:insideH w:val="nil"/>
          <w:insideV w:val="nil"/>
          <w:tl2br w:val="nil"/>
          <w:tr2bl w:val="nil"/>
        </w:tcBorders>
      </w:tcPr>
    </w:tblStylePr>
  </w:style>
  <w:style w:type="table" w:customStyle="1" w:styleId="49">
    <w:name w:val="Plain Table 4"/>
    <w:basedOn w:val="18"/>
    <w:qFormat/>
    <w:uiPriority w:val="44"/>
    <w:pPr>
      <w:spacing w:after="0" w:line="240" w:lineRule="auto"/>
    </w:pPr>
    <w:tblPr>
      <w:tblStyle w:val="18"/>
    </w:tblPr>
    <w:tblStylePr w:type="firstRow">
      <w:rPr>
        <w:b/>
        <w:bCs/>
      </w:rPr>
      <w:tblPr>
        <w:tblStyle w:val="18"/>
      </w:tblPr>
    </w:tblStylePr>
    <w:tblStylePr w:type="lastRow">
      <w:rPr>
        <w:b/>
        <w:bCs/>
      </w:rPr>
      <w:tblPr>
        <w:tblStyle w:val="18"/>
      </w:tblPr>
    </w:tblStylePr>
    <w:tblStylePr w:type="firstCol">
      <w:rPr>
        <w:b/>
        <w:bCs/>
      </w:rPr>
      <w:tblPr>
        <w:tblStyle w:val="18"/>
      </w:tblPr>
    </w:tblStylePr>
    <w:tblStylePr w:type="lastCol">
      <w:rPr>
        <w:b/>
        <w:bCs/>
      </w:rPr>
      <w:tblPr>
        <w:tblStyle w:val="18"/>
      </w:tblPr>
    </w:tblStylePr>
    <w:tblStylePr w:type="band1Vert">
      <w:tblPr>
        <w:tblStyle w:val="18"/>
      </w:tblPr>
      <w:tcPr>
        <w:shd w:val="clear" w:color="auto" w:fill="F1F1F1"/>
      </w:tcPr>
    </w:tblStylePr>
    <w:tblStylePr w:type="band1Horz">
      <w:tblPr>
        <w:tblStyle w:val="18"/>
      </w:tblPr>
      <w:tcPr>
        <w:shd w:val="clear" w:color="auto" w:fill="F1F1F1"/>
      </w:tcPr>
    </w:tblStylePr>
  </w:style>
  <w:style w:type="character" w:customStyle="1" w:styleId="50">
    <w:name w:val="Unresolved Mention"/>
    <w:basedOn w:val="19"/>
    <w:unhideWhenUsed/>
    <w:qFormat/>
    <w:uiPriority w:val="99"/>
    <w:rPr>
      <w:color w:val="605E5C"/>
      <w:shd w:val="clear" w:color="auto" w:fill="E1DFDD"/>
    </w:rPr>
  </w:style>
  <w:style w:type="character" w:customStyle="1" w:styleId="51">
    <w:name w:val="cf01"/>
    <w:basedOn w:val="19"/>
    <w:qFormat/>
    <w:uiPriority w:val="0"/>
    <w:rPr>
      <w:rFonts w:hint="default" w:ascii="Segoe UI" w:hAnsi="Segoe UI" w:cs="Segoe UI"/>
      <w:sz w:val="18"/>
      <w:szCs w:val="18"/>
    </w:rPr>
  </w:style>
  <w:style w:type="character" w:customStyle="1" w:styleId="52">
    <w:name w:val="Mention"/>
    <w:basedOn w:val="19"/>
    <w:unhideWhenUsed/>
    <w:qFormat/>
    <w:uiPriority w:val="99"/>
    <w:rPr>
      <w:color w:val="2B579A"/>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2.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1953</Words>
  <Characters>2020</Characters>
  <Lines>58</Lines>
  <Paragraphs>16</Paragraphs>
  <TotalTime>180.666666666667</TotalTime>
  <ScaleCrop>false</ScaleCrop>
  <LinksUpToDate>false</LinksUpToDate>
  <CharactersWithSpaces>2029</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2025-05-04T17:25:00Z</dcterms:created>
  <dc:creator>Hemmant, Anna</dc:creator>
  <cp:lastModifiedBy>cuihg</cp:lastModifiedBy>
  <cp:lastPrinted>2025-05-07T23:06:00Z</cp:lastPrinted>
  <dcterms:modified xsi:type="dcterms:W3CDTF">2025-06-12T19:03:05Z</dcterms:modified>
  <dc:title>司法管辖区概览：</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0x01010009A7B0DAEF8AD648AF0A1855AFF24001</vt:lpwstr>
  </property>
  <property fmtid="{D5CDD505-2E9C-101B-9397-08002B2CF9AE}" pid="3" name="MediaServiceImageTags">
    <vt:lpwstr/>
  </property>
  <property fmtid="{D5CDD505-2E9C-101B-9397-08002B2CF9AE}" pid="4" name="KSOTemplateDocerSaveRecord">
    <vt:lpwstr>eyJoZGlkIjoiYzBkYTk1NjgwNTc0ZThmODIwZTQ5NjM1NDllOWE5YWUiLCJ1c2VySWQiOiIxMTMwMDQ1MTAwIn0=</vt:lpwstr>
  </property>
  <property fmtid="{D5CDD505-2E9C-101B-9397-08002B2CF9AE}" pid="5" name="KSOProductBuildVer">
    <vt:lpwstr>2052-11.8.2.10422</vt:lpwstr>
  </property>
  <property fmtid="{D5CDD505-2E9C-101B-9397-08002B2CF9AE}" pid="6" name="ICV">
    <vt:lpwstr>0BEFC4B3549F457984D7F39A57448A97_13</vt:lpwstr>
  </property>
</Properties>
</file>